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ind w:left="8180"/>
        <w:spacing w:after="0"/>
        <w:rPr>
          <w:sz w:val="20"/>
          <w:szCs w:val="20"/>
          <w:color w:val="auto"/>
        </w:rPr>
      </w:pPr>
      <w:r>
        <w:rPr>
          <w:rFonts w:ascii="Arial" w:cs="Arial" w:eastAsia="Arial" w:hAnsi="Arial"/>
          <w:sz w:val="24"/>
          <w:szCs w:val="24"/>
          <w:color w:val="auto"/>
        </w:rPr>
        <w:t>ITEM NO. : 11.3</w:t>
      </w:r>
    </w:p>
    <w:p>
      <w:pPr>
        <w:spacing w:after="0" w:line="253" w:lineRule="exact"/>
        <w:rPr>
          <w:sz w:val="24"/>
          <w:szCs w:val="24"/>
          <w:color w:val="auto"/>
        </w:rPr>
      </w:pPr>
    </w:p>
    <w:p>
      <w:pPr>
        <w:jc w:val="center"/>
        <w:ind w:right="120"/>
        <w:spacing w:after="0"/>
        <w:rPr>
          <w:sz w:val="20"/>
          <w:szCs w:val="20"/>
          <w:color w:val="auto"/>
        </w:rPr>
      </w:pPr>
      <w:r>
        <w:rPr>
          <w:rFonts w:ascii="Times New Roman" w:cs="Times New Roman" w:eastAsia="Times New Roman" w:hAnsi="Times New Roman"/>
          <w:sz w:val="28"/>
          <w:szCs w:val="28"/>
          <w:b w:val="1"/>
          <w:bCs w:val="1"/>
          <w:color w:val="auto"/>
        </w:rPr>
        <w:t>TOWN OF WINDSOR</w:t>
      </w:r>
    </w:p>
    <w:p>
      <w:pPr>
        <w:spacing w:after="0" w:line="26" w:lineRule="exact"/>
        <w:rPr>
          <w:sz w:val="24"/>
          <w:szCs w:val="24"/>
          <w:color w:val="auto"/>
        </w:rPr>
      </w:pPr>
    </w:p>
    <w:p>
      <w:pPr>
        <w:jc w:val="center"/>
        <w:ind w:right="120"/>
        <w:spacing w:after="0"/>
        <w:rPr>
          <w:sz w:val="20"/>
          <w:szCs w:val="20"/>
          <w:color w:val="auto"/>
        </w:rPr>
      </w:pPr>
      <w:r>
        <w:rPr>
          <w:rFonts w:ascii="Times New Roman" w:cs="Times New Roman" w:eastAsia="Times New Roman" w:hAnsi="Times New Roman"/>
          <w:sz w:val="28"/>
          <w:szCs w:val="28"/>
          <w:b w:val="1"/>
          <w:bCs w:val="1"/>
          <w:color w:val="auto"/>
        </w:rPr>
        <w:t>AGENDA REPORT</w:t>
      </w:r>
    </w:p>
    <w:p>
      <w:pPr>
        <w:spacing w:after="0" w:line="374" w:lineRule="exact"/>
        <w:rPr>
          <w:sz w:val="24"/>
          <w:szCs w:val="24"/>
          <w:color w:val="auto"/>
        </w:rPr>
      </w:pPr>
    </w:p>
    <w:p>
      <w:pPr>
        <w:ind w:right="520"/>
        <w:spacing w:after="0" w:line="276" w:lineRule="auto"/>
        <w:rPr>
          <w:sz w:val="20"/>
          <w:szCs w:val="20"/>
          <w:color w:val="auto"/>
        </w:rPr>
      </w:pPr>
      <w:r>
        <w:rPr>
          <w:rFonts w:ascii="Times New Roman" w:cs="Times New Roman" w:eastAsia="Times New Roman" w:hAnsi="Times New Roman"/>
          <w:sz w:val="24"/>
          <w:szCs w:val="24"/>
          <w:b w:val="1"/>
          <w:bCs w:val="1"/>
          <w:color w:val="auto"/>
        </w:rPr>
        <w:t>Joint Windsor Town Council, Windsor Redevelopment Successor Agency and Windsor Water District Meeting Date:</w:t>
      </w:r>
      <w:r>
        <w:rPr>
          <w:rFonts w:ascii="Times New Roman" w:cs="Times New Roman" w:eastAsia="Times New Roman" w:hAnsi="Times New Roman"/>
          <w:sz w:val="24"/>
          <w:szCs w:val="24"/>
          <w:color w:val="auto"/>
        </w:rPr>
        <w:t xml:space="preserve"> April 15, 2026</w:t>
      </w:r>
    </w:p>
    <w:p>
      <w:pPr>
        <w:spacing w:after="0" w:line="157" w:lineRule="exact"/>
        <w:rPr>
          <w:sz w:val="24"/>
          <w:szCs w:val="24"/>
          <w:color w:val="auto"/>
        </w:rPr>
      </w:pPr>
    </w:p>
    <w:p>
      <w:pPr>
        <w:spacing w:after="0"/>
        <w:tabs>
          <w:tab w:leader="none" w:pos="1480" w:val="left"/>
        </w:tabs>
        <w:rPr>
          <w:sz w:val="20"/>
          <w:szCs w:val="20"/>
          <w:color w:val="auto"/>
        </w:rPr>
      </w:pPr>
      <w:r>
        <w:rPr>
          <w:rFonts w:ascii="Times New Roman" w:cs="Times New Roman" w:eastAsia="Times New Roman" w:hAnsi="Times New Roman"/>
          <w:sz w:val="24"/>
          <w:szCs w:val="24"/>
          <w:b w:val="1"/>
          <w:bCs w:val="1"/>
          <w:color w:val="auto"/>
        </w:rPr>
        <w:t>To:</w:t>
      </w:r>
      <w:r>
        <w:rPr>
          <w:sz w:val="20"/>
          <w:szCs w:val="20"/>
          <w:color w:val="auto"/>
        </w:rPr>
        <w:tab/>
      </w:r>
      <w:r>
        <w:rPr>
          <w:rFonts w:ascii="Times New Roman" w:cs="Times New Roman" w:eastAsia="Times New Roman" w:hAnsi="Times New Roman"/>
          <w:sz w:val="24"/>
          <w:szCs w:val="24"/>
          <w:color w:val="auto"/>
        </w:rPr>
        <w:t>Mayor and Town Council</w:t>
      </w:r>
    </w:p>
    <w:p>
      <w:pPr>
        <w:spacing w:after="0" w:line="32" w:lineRule="exact"/>
        <w:rPr>
          <w:sz w:val="24"/>
          <w:szCs w:val="24"/>
          <w:color w:val="auto"/>
        </w:rPr>
      </w:pPr>
    </w:p>
    <w:p>
      <w:pPr>
        <w:spacing w:after="0"/>
        <w:tabs>
          <w:tab w:leader="none" w:pos="1480" w:val="left"/>
        </w:tabs>
        <w:rPr>
          <w:sz w:val="20"/>
          <w:szCs w:val="20"/>
          <w:color w:val="auto"/>
        </w:rPr>
      </w:pPr>
      <w:r>
        <w:rPr>
          <w:rFonts w:ascii="Times New Roman" w:cs="Times New Roman" w:eastAsia="Times New Roman" w:hAnsi="Times New Roman"/>
          <w:sz w:val="24"/>
          <w:szCs w:val="24"/>
          <w:b w:val="1"/>
          <w:bCs w:val="1"/>
          <w:color w:val="auto"/>
        </w:rPr>
        <w:t>From:</w:t>
      </w:r>
      <w:r>
        <w:rPr>
          <w:sz w:val="20"/>
          <w:szCs w:val="20"/>
          <w:color w:val="auto"/>
        </w:rPr>
        <w:tab/>
      </w:r>
      <w:r>
        <w:rPr>
          <w:rFonts w:ascii="Times New Roman" w:cs="Times New Roman" w:eastAsia="Times New Roman" w:hAnsi="Times New Roman"/>
          <w:sz w:val="24"/>
          <w:szCs w:val="24"/>
          <w:color w:val="auto"/>
        </w:rPr>
        <w:t>Denise Alcala, Management Analyst</w:t>
      </w:r>
    </w:p>
    <w:p>
      <w:pPr>
        <w:ind w:left="1500" w:right="700" w:hanging="1499"/>
        <w:spacing w:after="0" w:line="244" w:lineRule="auto"/>
        <w:tabs>
          <w:tab w:leader="none" w:pos="1480" w:val="left"/>
        </w:tabs>
        <w:rPr>
          <w:sz w:val="20"/>
          <w:szCs w:val="20"/>
          <w:color w:val="auto"/>
        </w:rPr>
      </w:pPr>
      <w:r>
        <w:rPr>
          <w:rFonts w:ascii="Times New Roman" w:cs="Times New Roman" w:eastAsia="Times New Roman" w:hAnsi="Times New Roman"/>
          <w:sz w:val="24"/>
          <w:szCs w:val="24"/>
          <w:b w:val="1"/>
          <w:bCs w:val="1"/>
          <w:color w:val="auto"/>
        </w:rPr>
        <w:t>Subject:</w:t>
      </w:r>
      <w:r>
        <w:rPr>
          <w:sz w:val="20"/>
          <w:szCs w:val="20"/>
          <w:color w:val="auto"/>
        </w:rPr>
        <w:tab/>
      </w:r>
      <w:r>
        <w:rPr>
          <w:rFonts w:ascii="Times New Roman" w:cs="Times New Roman" w:eastAsia="Times New Roman" w:hAnsi="Times New Roman"/>
          <w:sz w:val="24"/>
          <w:szCs w:val="24"/>
          <w:color w:val="auto"/>
        </w:rPr>
        <w:t>Approve a Funding Agreement, Adopt a Budget Amendment Resolution, Approve Plans and Specifications, and Award Major Construction Agreement for the Cunningham House Rehabilitation Project.</w:t>
      </w:r>
    </w:p>
    <w:p>
      <w:pPr>
        <w:spacing w:after="0" w:line="194"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Recommendation to Council:</w:t>
      </w:r>
    </w:p>
    <w:p>
      <w:pPr>
        <w:spacing w:after="0" w:line="32" w:lineRule="exact"/>
        <w:rPr>
          <w:sz w:val="24"/>
          <w:szCs w:val="24"/>
          <w:color w:val="auto"/>
        </w:rPr>
      </w:pPr>
    </w:p>
    <w:p>
      <w:pPr>
        <w:ind w:left="600" w:right="1400" w:hanging="312"/>
        <w:spacing w:after="0"/>
        <w:tabs>
          <w:tab w:leader="none" w:pos="60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Approve a Funding Agreement with the Windsor Historical Society in the amount of $344,255.50.</w:t>
      </w:r>
    </w:p>
    <w:p>
      <w:pPr>
        <w:ind w:left="600" w:right="400" w:hanging="312"/>
        <w:spacing w:after="0"/>
        <w:tabs>
          <w:tab w:leader="none" w:pos="60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Adopt a resolution amending the approved Fiscal Year 2026-27 budget in the amount of $344,255.50, for construction and inspection services of the Cunningham House Rehabilitation Project.</w:t>
      </w:r>
    </w:p>
    <w:p>
      <w:pPr>
        <w:ind w:left="600" w:right="220" w:hanging="312"/>
        <w:spacing w:after="0" w:line="242" w:lineRule="auto"/>
        <w:tabs>
          <w:tab w:leader="none" w:pos="60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Approve Plans and Specifications and Award a Major Construction Agreement to M3 Integrated Services, Inc., in the amount of $267,505 for the construction of the Cunningham House Rehabilitation Project and authorize the Town Manager to execute said construction contract and any required construction change orders up to 10% of the original agreement price for a not-to-exceed amount of $294,255.50, on behalf of the Town.</w:t>
      </w:r>
    </w:p>
    <w:p>
      <w:pPr>
        <w:spacing w:after="0" w:line="197"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Strategic Plan Element:</w:t>
      </w:r>
    </w:p>
    <w:p>
      <w:pPr>
        <w:spacing w:after="0" w:line="32" w:lineRule="exact"/>
        <w:rPr>
          <w:sz w:val="24"/>
          <w:szCs w:val="24"/>
          <w:color w:val="auto"/>
        </w:rPr>
      </w:pPr>
    </w:p>
    <w:p>
      <w:pPr>
        <w:ind w:right="280"/>
        <w:spacing w:after="0" w:line="244" w:lineRule="auto"/>
        <w:rPr>
          <w:sz w:val="20"/>
          <w:szCs w:val="20"/>
          <w:color w:val="auto"/>
        </w:rPr>
      </w:pPr>
      <w:r>
        <w:rPr>
          <w:rFonts w:ascii="Times New Roman" w:cs="Times New Roman" w:eastAsia="Times New Roman" w:hAnsi="Times New Roman"/>
          <w:sz w:val="24"/>
          <w:szCs w:val="24"/>
          <w:color w:val="auto"/>
        </w:rPr>
        <w:t>The recommended action supports the goal of Infrastructure. Goal Statement: Through a lens of sustainability and innovation, invest in the Town's infrastructure and public facilities to meet the needs of future generations.</w:t>
      </w:r>
    </w:p>
    <w:p>
      <w:pPr>
        <w:spacing w:after="0" w:line="194"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Background:</w:t>
      </w:r>
    </w:p>
    <w:p>
      <w:pPr>
        <w:spacing w:after="0" w:line="32" w:lineRule="exact"/>
        <w:rPr>
          <w:sz w:val="24"/>
          <w:szCs w:val="24"/>
          <w:color w:val="auto"/>
        </w:rPr>
      </w:pPr>
    </w:p>
    <w:p>
      <w:pPr>
        <w:ind w:right="220"/>
        <w:spacing w:after="0" w:line="241" w:lineRule="auto"/>
        <w:rPr>
          <w:sz w:val="20"/>
          <w:szCs w:val="20"/>
          <w:color w:val="auto"/>
        </w:rPr>
      </w:pPr>
      <w:r>
        <w:rPr>
          <w:rFonts w:ascii="Times New Roman" w:cs="Times New Roman" w:eastAsia="Times New Roman" w:hAnsi="Times New Roman"/>
          <w:sz w:val="24"/>
          <w:szCs w:val="24"/>
          <w:color w:val="auto"/>
        </w:rPr>
        <w:t>The Cunningham House, located at 9229 Foxwood Drive, is on Town owned property, which also includes the Hembree House and Windsor Senior Recreation Center. The Cunningham House is one of the oldest remaining houses in Sonoma County and is on the National Register of Historic Places along with the Hembree House. The Cunningham House is a one and one-half story, wood frame structure, with an approximate 820 square foot footprint (not including the porch). The original homestead cabin, which comprises part of the current structure, was built in 1849 by Robert Cunningham on the original 160-acre homestead. The residence was home to locally prominent citizens Robert and Isabella Cunningham and was a focal point for community activities.</w:t>
      </w:r>
    </w:p>
    <w:p>
      <w:pPr>
        <w:spacing w:after="0" w:line="241" w:lineRule="exact"/>
        <w:rPr>
          <w:sz w:val="24"/>
          <w:szCs w:val="24"/>
          <w:color w:val="auto"/>
        </w:rPr>
      </w:pPr>
    </w:p>
    <w:p>
      <w:pPr>
        <w:ind w:right="240"/>
        <w:spacing w:after="0" w:line="246" w:lineRule="auto"/>
        <w:rPr>
          <w:sz w:val="20"/>
          <w:szCs w:val="20"/>
          <w:color w:val="auto"/>
        </w:rPr>
      </w:pPr>
      <w:r>
        <w:rPr>
          <w:rFonts w:ascii="Times New Roman" w:cs="Times New Roman" w:eastAsia="Times New Roman" w:hAnsi="Times New Roman"/>
          <w:sz w:val="24"/>
          <w:szCs w:val="24"/>
          <w:color w:val="auto"/>
        </w:rPr>
        <w:t>The oldest part of the original 1849 homestead cabin is a rectangle eighteen feet by twenty-six feet. There is a fireplace in the middle of the east wall. This original structure was built with redwood log floor joists on approximately 36-inch centers with their ends inserted into 8x8 inch hand hewn perimeter beams that are raised approximately 12 inches above the ground. These logs and floor beams are indicative of an early plains cabin and still support a portion of the existing building. The original roof was probably a simple gable.</w:t>
      </w:r>
    </w:p>
    <w:p>
      <w:pPr>
        <w:spacing w:after="0" w:line="235"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These original living quarters were expanded in the 1850’s, and the building was later updated and</w:t>
      </w:r>
    </w:p>
    <w:p>
      <w:pPr>
        <w:sectPr>
          <w:pgSz w:w="12240" w:h="15840" w:orient="portrait"/>
          <w:cols w:equalWidth="0" w:num="1">
            <w:col w:w="10140"/>
          </w:cols>
          <w:pgMar w:left="1080" w:top="895" w:right="1020" w:bottom="368" w:gutter="0" w:footer="0" w:header="0"/>
        </w:sectPr>
      </w:pPr>
    </w:p>
    <w:p>
      <w:pPr>
        <w:spacing w:after="0" w:line="156" w:lineRule="exact"/>
        <w:rPr>
          <w:sz w:val="24"/>
          <w:szCs w:val="24"/>
          <w:color w:val="auto"/>
        </w:rPr>
      </w:pPr>
    </w:p>
    <w:p>
      <w:pPr>
        <w:ind w:left="10020"/>
        <w:spacing w:after="0"/>
        <w:rPr>
          <w:sz w:val="20"/>
          <w:szCs w:val="20"/>
          <w:color w:val="auto"/>
        </w:rPr>
      </w:pPr>
      <w:r>
        <w:rPr>
          <w:rFonts w:ascii="Times New Roman" w:cs="Times New Roman" w:eastAsia="Times New Roman" w:hAnsi="Times New Roman"/>
          <w:sz w:val="24"/>
          <w:szCs w:val="24"/>
          <w:color w:val="auto"/>
        </w:rPr>
        <w:t>1</w:t>
      </w:r>
    </w:p>
    <w:p>
      <w:pPr>
        <w:sectPr>
          <w:pgSz w:w="12240" w:h="15840" w:orient="portrait"/>
          <w:cols w:equalWidth="0" w:num="1">
            <w:col w:w="10140"/>
          </w:cols>
          <w:pgMar w:left="1080" w:top="895" w:right="1020" w:bottom="368" w:gutter="0" w:footer="0" w:header="0"/>
          <w:type w:val="continuous"/>
        </w:sectPr>
      </w:pPr>
    </w:p>
    <w:p>
      <w:pPr>
        <w:ind w:right="140"/>
        <w:spacing w:after="0" w:line="244" w:lineRule="auto"/>
        <w:rPr>
          <w:sz w:val="20"/>
          <w:szCs w:val="20"/>
          <w:color w:val="auto"/>
        </w:rPr>
      </w:pPr>
      <w:r>
        <w:rPr>
          <w:rFonts w:ascii="Times New Roman" w:cs="Times New Roman" w:eastAsia="Times New Roman" w:hAnsi="Times New Roman"/>
          <w:sz w:val="24"/>
          <w:szCs w:val="24"/>
          <w:color w:val="auto"/>
        </w:rPr>
        <w:t>embellished in the Greek Revival style in the mid 1860’s. The 1850’s expansion added 14 feet to the south end of the house that still exists. A later addition appears to have been constructed between 1870 and 1880 and added rooms to the north end of the house. This addition was removed in 1993 in order to facilitate the construction of the Senior Center, thus restoring the building to its 1850’s footprint. The house that remains is approximately thirty-two feet by twenty-six feet in size. The entry is on the west side with the door centered between two windows. The east side has three windows equally spaced. The south side has two windows on either side of where the south entry door had originally been (this doorway has been covered with siding). The north wall has modern siding and no windows or openings.</w:t>
      </w:r>
    </w:p>
    <w:p>
      <w:pPr>
        <w:spacing w:after="0" w:line="239" w:lineRule="exact"/>
        <w:rPr>
          <w:sz w:val="20"/>
          <w:szCs w:val="20"/>
          <w:color w:val="auto"/>
        </w:rPr>
      </w:pPr>
    </w:p>
    <w:p>
      <w:pPr>
        <w:ind w:right="160"/>
        <w:spacing w:after="0" w:line="247" w:lineRule="auto"/>
        <w:rPr>
          <w:sz w:val="20"/>
          <w:szCs w:val="20"/>
          <w:color w:val="auto"/>
        </w:rPr>
      </w:pPr>
      <w:r>
        <w:rPr>
          <w:rFonts w:ascii="Times New Roman" w:cs="Times New Roman" w:eastAsia="Times New Roman" w:hAnsi="Times New Roman"/>
          <w:sz w:val="24"/>
          <w:szCs w:val="24"/>
          <w:color w:val="auto"/>
        </w:rPr>
        <w:t>Between 1996 and 1997, the Town collaborated with the Windsor Historical Society (WHS) to develop architectural plans for the original home as a foundation for future restoration efforts. During this period, the Town also funded several repairs to the Cunningham House, including installing a new tar paper roof to replace the deteriorated wood shingles, removing two trees and extensive rose bushes, and repairing and replacing several windows.</w:t>
      </w:r>
    </w:p>
    <w:p>
      <w:pPr>
        <w:spacing w:after="0" w:line="236" w:lineRule="exact"/>
        <w:rPr>
          <w:sz w:val="20"/>
          <w:szCs w:val="20"/>
          <w:color w:val="auto"/>
        </w:rPr>
      </w:pPr>
    </w:p>
    <w:p>
      <w:pPr>
        <w:ind w:right="120"/>
        <w:spacing w:after="0" w:line="246" w:lineRule="auto"/>
        <w:rPr>
          <w:sz w:val="20"/>
          <w:szCs w:val="20"/>
          <w:color w:val="auto"/>
        </w:rPr>
      </w:pPr>
      <w:r>
        <w:rPr>
          <w:rFonts w:ascii="Times New Roman" w:cs="Times New Roman" w:eastAsia="Times New Roman" w:hAnsi="Times New Roman"/>
          <w:sz w:val="24"/>
          <w:szCs w:val="24"/>
          <w:color w:val="auto"/>
        </w:rPr>
        <w:t>In 2008 the Town hired TFA Architects to provide a stabilization study (Study) to identify cost effective protection and preservation measures for the Cunningham House, which would stabilize the structure from further substantive deterioration until permanent renovation measures could be completed. The Study recommended the following repairs; a metal roof replacement, replacement of the north wall, exterior siding repair and paint, window repair and restoration, rebuilding of entry porch, fence replacement, and vegetation clearance to the perimeter of the house.</w:t>
      </w:r>
    </w:p>
    <w:p>
      <w:pPr>
        <w:spacing w:after="0" w:line="235" w:lineRule="exact"/>
        <w:rPr>
          <w:sz w:val="20"/>
          <w:szCs w:val="20"/>
          <w:color w:val="auto"/>
        </w:rPr>
      </w:pPr>
    </w:p>
    <w:p>
      <w:pPr>
        <w:ind w:right="240"/>
        <w:spacing w:after="0" w:line="247" w:lineRule="auto"/>
        <w:rPr>
          <w:sz w:val="20"/>
          <w:szCs w:val="20"/>
          <w:color w:val="auto"/>
        </w:rPr>
      </w:pPr>
      <w:r>
        <w:rPr>
          <w:rFonts w:ascii="Times New Roman" w:cs="Times New Roman" w:eastAsia="Times New Roman" w:hAnsi="Times New Roman"/>
          <w:sz w:val="24"/>
          <w:szCs w:val="24"/>
          <w:color w:val="auto"/>
        </w:rPr>
        <w:t>In 2009 the Town entered into a Lease Agreement with WHS for the Cunningham House. Included in the Agreement is the goal of WHS to develop and fund a plan for the renovation and future use of the Cunningham House as an historical museum and adjunct to the Hembree House Historical Museum. In 2011 the short-term stabilization repairs outlined in the 2008 study were completed and funded by WHS.</w:t>
      </w:r>
    </w:p>
    <w:p>
      <w:pPr>
        <w:spacing w:after="0" w:line="236" w:lineRule="exact"/>
        <w:rPr>
          <w:sz w:val="20"/>
          <w:szCs w:val="20"/>
          <w:color w:val="auto"/>
        </w:rPr>
      </w:pPr>
    </w:p>
    <w:p>
      <w:pPr>
        <w:ind w:right="440"/>
        <w:spacing w:after="0" w:line="259" w:lineRule="auto"/>
        <w:rPr>
          <w:sz w:val="20"/>
          <w:szCs w:val="20"/>
          <w:color w:val="auto"/>
        </w:rPr>
      </w:pPr>
      <w:r>
        <w:rPr>
          <w:rFonts w:ascii="Times New Roman" w:cs="Times New Roman" w:eastAsia="Times New Roman" w:hAnsi="Times New Roman"/>
          <w:sz w:val="23"/>
          <w:szCs w:val="23"/>
          <w:color w:val="auto"/>
        </w:rPr>
        <w:t>In 2022, WHS hired MKM Associates and Structural Engineers to prepare plans for the Cunningham House rehabilitation project. The project includes stabilizing and securing a permanent foundation, performing framing retrofits, installing full structural sheathing, and completing all ancillary tasks required to deliver a fully stabilized and structurally sound building. At that time, the project was paused due to funding limitations. In 2025, WHS approached the Town with secured funding for the project. The Town and WHS worked with MKM Associates to review and finalize the project plans.</w:t>
      </w:r>
    </w:p>
    <w:p>
      <w:pPr>
        <w:spacing w:after="0" w:line="177"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Discussion:</w:t>
      </w:r>
    </w:p>
    <w:p>
      <w:pPr>
        <w:spacing w:after="0" w:line="32" w:lineRule="exact"/>
        <w:rPr>
          <w:sz w:val="20"/>
          <w:szCs w:val="20"/>
          <w:color w:val="auto"/>
        </w:rPr>
      </w:pPr>
    </w:p>
    <w:p>
      <w:pPr>
        <w:ind w:right="180"/>
        <w:spacing w:after="0" w:line="241" w:lineRule="auto"/>
        <w:rPr>
          <w:sz w:val="20"/>
          <w:szCs w:val="20"/>
          <w:color w:val="auto"/>
        </w:rPr>
      </w:pPr>
      <w:r>
        <w:rPr>
          <w:rFonts w:ascii="Times New Roman" w:cs="Times New Roman" w:eastAsia="Times New Roman" w:hAnsi="Times New Roman"/>
          <w:sz w:val="24"/>
          <w:szCs w:val="24"/>
          <w:color w:val="auto"/>
        </w:rPr>
        <w:t>Due to the fact that the Town owns the property, the Town will act as the Project Manager for this restoration project. WHS will provide the funding to cover all direct project costs through a Funding Agreement in the amount not- to-exceed $344,255.50, (Attachment 1). WHS will provide historical oversight, MKM will provide engineering oversight, and the Town will hire a part- time inspector through Green Valley Consulting Engineers to oversee the project on behalf of the Town and WHS. All costs will be covered by WHS.</w:t>
      </w:r>
    </w:p>
    <w:p>
      <w:pPr>
        <w:spacing w:after="0" w:line="243" w:lineRule="exact"/>
        <w:rPr>
          <w:sz w:val="20"/>
          <w:szCs w:val="20"/>
          <w:color w:val="auto"/>
        </w:rPr>
      </w:pPr>
    </w:p>
    <w:p>
      <w:pPr>
        <w:ind w:right="600"/>
        <w:spacing w:after="0" w:line="255" w:lineRule="auto"/>
        <w:rPr>
          <w:sz w:val="20"/>
          <w:szCs w:val="20"/>
          <w:color w:val="auto"/>
        </w:rPr>
      </w:pPr>
      <w:r>
        <w:rPr>
          <w:rFonts w:ascii="Times New Roman" w:cs="Times New Roman" w:eastAsia="Times New Roman" w:hAnsi="Times New Roman"/>
          <w:sz w:val="24"/>
          <w:szCs w:val="24"/>
          <w:color w:val="auto"/>
        </w:rPr>
        <w:t>The project was formally bid and included the base bid for stabilizing and securing a permanent foundation along with Alternate #1 for attic and porch roof framing, and Alternate #2 for main roof framing. On March 19, 2026, a bid opening was held resulting in three bids received as follows:</w:t>
      </w:r>
    </w:p>
    <w:p>
      <w:pPr>
        <w:sectPr>
          <w:pgSz w:w="12240" w:h="15840" w:orient="portrait"/>
          <w:cols w:equalWidth="0" w:num="1">
            <w:col w:w="10140"/>
          </w:cols>
          <w:pgMar w:left="1080" w:top="831" w:right="1020" w:bottom="368"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88" w:lineRule="exact"/>
        <w:rPr>
          <w:sz w:val="20"/>
          <w:szCs w:val="20"/>
          <w:color w:val="auto"/>
        </w:rPr>
      </w:pPr>
    </w:p>
    <w:p>
      <w:pPr>
        <w:ind w:left="10020"/>
        <w:spacing w:after="0"/>
        <w:rPr>
          <w:sz w:val="20"/>
          <w:szCs w:val="20"/>
          <w:color w:val="auto"/>
        </w:rPr>
      </w:pPr>
      <w:r>
        <w:rPr>
          <w:rFonts w:ascii="Times New Roman" w:cs="Times New Roman" w:eastAsia="Times New Roman" w:hAnsi="Times New Roman"/>
          <w:sz w:val="24"/>
          <w:szCs w:val="24"/>
          <w:color w:val="auto"/>
        </w:rPr>
        <w:t>2</w:t>
      </w:r>
    </w:p>
    <w:p>
      <w:pPr>
        <w:sectPr>
          <w:pgSz w:w="12240" w:h="15840" w:orient="portrait"/>
          <w:cols w:equalWidth="0" w:num="1">
            <w:col w:w="10140"/>
          </w:cols>
          <w:pgMar w:left="1080" w:top="831" w:right="1020" w:bottom="368" w:gutter="0" w:footer="0" w:header="0"/>
          <w:type w:val="continuous"/>
        </w:sectPr>
      </w:pPr>
    </w:p>
    <w:tbl>
      <w:tblPr>
        <w:tblLayout w:type="fixed"/>
        <w:tblInd w:w="10" w:type="dxa"/>
        <w:tblCellMar>
          <w:top w:w="0" w:type="dxa"/>
          <w:left w:w="0" w:type="dxa"/>
          <w:bottom w:w="0" w:type="dxa"/>
          <w:right w:w="0" w:type="dxa"/>
        </w:tblCellMar>
      </w:tblPr>
      <w:tr>
        <w:trPr>
          <w:trHeight w:val="384"/>
        </w:trPr>
        <w:tc>
          <w:tcPr>
            <w:tcW w:w="2020" w:type="dxa"/>
            <w:vAlign w:val="bottom"/>
            <w:tcBorders>
              <w:top w:val="single" w:sz="8" w:color="2C2C2C"/>
              <w:left w:val="single" w:sz="8" w:color="2C2C2C"/>
              <w:right w:val="single" w:sz="8" w:color="808080"/>
            </w:tcBorders>
          </w:tcPr>
          <w:p>
            <w:pPr>
              <w:ind w:left="20"/>
              <w:spacing w:after="0"/>
              <w:rPr>
                <w:sz w:val="20"/>
                <w:szCs w:val="20"/>
                <w:color w:val="auto"/>
              </w:rPr>
            </w:pPr>
            <w:r>
              <w:rPr>
                <w:rFonts w:ascii="Times New Roman" w:cs="Times New Roman" w:eastAsia="Times New Roman" w:hAnsi="Times New Roman"/>
                <w:sz w:val="24"/>
                <w:szCs w:val="24"/>
                <w:color w:val="auto"/>
              </w:rPr>
              <w:t>Bidder</w:t>
            </w:r>
          </w:p>
        </w:tc>
        <w:tc>
          <w:tcPr>
            <w:tcW w:w="2000" w:type="dxa"/>
            <w:vAlign w:val="bottom"/>
            <w:tcBorders>
              <w:top w:val="single" w:sz="8" w:color="2C2C2C"/>
              <w:right w:val="single" w:sz="8" w:color="808080"/>
            </w:tcBorders>
          </w:tcPr>
          <w:p>
            <w:pPr>
              <w:spacing w:after="0"/>
              <w:rPr>
                <w:sz w:val="20"/>
                <w:szCs w:val="20"/>
                <w:color w:val="auto"/>
              </w:rPr>
            </w:pPr>
            <w:r>
              <w:rPr>
                <w:rFonts w:ascii="Times New Roman" w:cs="Times New Roman" w:eastAsia="Times New Roman" w:hAnsi="Times New Roman"/>
                <w:sz w:val="24"/>
                <w:szCs w:val="24"/>
                <w:color w:val="auto"/>
              </w:rPr>
              <w:t>Base Bid</w:t>
            </w:r>
          </w:p>
        </w:tc>
        <w:tc>
          <w:tcPr>
            <w:tcW w:w="2000" w:type="dxa"/>
            <w:vAlign w:val="bottom"/>
            <w:tcBorders>
              <w:top w:val="single" w:sz="8" w:color="2C2C2C"/>
              <w:right w:val="single" w:sz="8" w:color="808080"/>
            </w:tcBorders>
            <w:gridSpan w:val="2"/>
          </w:tcPr>
          <w:p>
            <w:pPr>
              <w:spacing w:after="0"/>
              <w:rPr>
                <w:sz w:val="20"/>
                <w:szCs w:val="20"/>
                <w:color w:val="auto"/>
              </w:rPr>
            </w:pPr>
            <w:r>
              <w:rPr>
                <w:rFonts w:ascii="Times New Roman" w:cs="Times New Roman" w:eastAsia="Times New Roman" w:hAnsi="Times New Roman"/>
                <w:sz w:val="24"/>
                <w:szCs w:val="24"/>
                <w:color w:val="auto"/>
              </w:rPr>
              <w:t>Alternate #1</w:t>
            </w:r>
          </w:p>
        </w:tc>
        <w:tc>
          <w:tcPr>
            <w:tcW w:w="2000" w:type="dxa"/>
            <w:vAlign w:val="bottom"/>
            <w:tcBorders>
              <w:top w:val="single" w:sz="8" w:color="2C2C2C"/>
              <w:right w:val="single" w:sz="8" w:color="808080"/>
            </w:tcBorders>
          </w:tcPr>
          <w:p>
            <w:pPr>
              <w:spacing w:after="0"/>
              <w:rPr>
                <w:sz w:val="20"/>
                <w:szCs w:val="20"/>
                <w:color w:val="auto"/>
              </w:rPr>
            </w:pPr>
            <w:r>
              <w:rPr>
                <w:rFonts w:ascii="Times New Roman" w:cs="Times New Roman" w:eastAsia="Times New Roman" w:hAnsi="Times New Roman"/>
                <w:sz w:val="24"/>
                <w:szCs w:val="24"/>
                <w:color w:val="auto"/>
              </w:rPr>
              <w:t>Alternate #2</w:t>
            </w:r>
          </w:p>
        </w:tc>
        <w:tc>
          <w:tcPr>
            <w:tcW w:w="2020" w:type="dxa"/>
            <w:vAlign w:val="bottom"/>
            <w:tcBorders>
              <w:top w:val="single" w:sz="8" w:color="2C2C2C"/>
              <w:right w:val="single" w:sz="8" w:color="2C2C2C"/>
            </w:tcBorders>
          </w:tcPr>
          <w:p>
            <w:pPr>
              <w:spacing w:after="0"/>
              <w:rPr>
                <w:sz w:val="20"/>
                <w:szCs w:val="20"/>
                <w:color w:val="auto"/>
              </w:rPr>
            </w:pPr>
            <w:r>
              <w:rPr>
                <w:rFonts w:ascii="Times New Roman" w:cs="Times New Roman" w:eastAsia="Times New Roman" w:hAnsi="Times New Roman"/>
                <w:sz w:val="24"/>
                <w:szCs w:val="24"/>
                <w:color w:val="auto"/>
              </w:rPr>
              <w:t>Total</w:t>
            </w:r>
          </w:p>
        </w:tc>
        <w:tc>
          <w:tcPr>
            <w:tcW w:w="0" w:type="dxa"/>
            <w:vAlign w:val="bottom"/>
          </w:tcPr>
          <w:p>
            <w:pPr>
              <w:spacing w:after="0"/>
              <w:rPr>
                <w:sz w:val="1"/>
                <w:szCs w:val="1"/>
                <w:color w:val="auto"/>
              </w:rPr>
            </w:pPr>
          </w:p>
        </w:tc>
      </w:tr>
      <w:tr>
        <w:trPr>
          <w:trHeight w:val="84"/>
        </w:trPr>
        <w:tc>
          <w:tcPr>
            <w:tcW w:w="2020" w:type="dxa"/>
            <w:vAlign w:val="bottom"/>
            <w:tcBorders>
              <w:left w:val="single" w:sz="8" w:color="2C2C2C"/>
              <w:bottom w:val="single" w:sz="8" w:color="808080"/>
              <w:right w:val="single" w:sz="8" w:color="808080"/>
            </w:tcBorders>
          </w:tcPr>
          <w:p>
            <w:pPr>
              <w:spacing w:after="0"/>
              <w:rPr>
                <w:sz w:val="7"/>
                <w:szCs w:val="7"/>
                <w:color w:val="auto"/>
              </w:rPr>
            </w:pPr>
          </w:p>
        </w:tc>
        <w:tc>
          <w:tcPr>
            <w:tcW w:w="2000" w:type="dxa"/>
            <w:vAlign w:val="bottom"/>
            <w:tcBorders>
              <w:bottom w:val="single" w:sz="8" w:color="808080"/>
              <w:right w:val="single" w:sz="8" w:color="808080"/>
            </w:tcBorders>
          </w:tcPr>
          <w:p>
            <w:pPr>
              <w:spacing w:after="0"/>
              <w:rPr>
                <w:sz w:val="7"/>
                <w:szCs w:val="7"/>
                <w:color w:val="auto"/>
              </w:rPr>
            </w:pPr>
          </w:p>
        </w:tc>
        <w:tc>
          <w:tcPr>
            <w:tcW w:w="120" w:type="dxa"/>
            <w:vAlign w:val="bottom"/>
            <w:tcBorders>
              <w:bottom w:val="single" w:sz="8" w:color="808080"/>
            </w:tcBorders>
          </w:tcPr>
          <w:p>
            <w:pPr>
              <w:spacing w:after="0"/>
              <w:rPr>
                <w:sz w:val="7"/>
                <w:szCs w:val="7"/>
                <w:color w:val="auto"/>
              </w:rPr>
            </w:pPr>
          </w:p>
        </w:tc>
        <w:tc>
          <w:tcPr>
            <w:tcW w:w="1880" w:type="dxa"/>
            <w:vAlign w:val="bottom"/>
            <w:tcBorders>
              <w:bottom w:val="single" w:sz="8" w:color="808080"/>
              <w:right w:val="single" w:sz="8" w:color="808080"/>
            </w:tcBorders>
          </w:tcPr>
          <w:p>
            <w:pPr>
              <w:spacing w:after="0"/>
              <w:rPr>
                <w:sz w:val="7"/>
                <w:szCs w:val="7"/>
                <w:color w:val="auto"/>
              </w:rPr>
            </w:pPr>
          </w:p>
        </w:tc>
        <w:tc>
          <w:tcPr>
            <w:tcW w:w="2000" w:type="dxa"/>
            <w:vAlign w:val="bottom"/>
            <w:tcBorders>
              <w:bottom w:val="single" w:sz="8" w:color="808080"/>
              <w:right w:val="single" w:sz="8" w:color="808080"/>
            </w:tcBorders>
          </w:tcPr>
          <w:p>
            <w:pPr>
              <w:spacing w:after="0"/>
              <w:rPr>
                <w:sz w:val="7"/>
                <w:szCs w:val="7"/>
                <w:color w:val="auto"/>
              </w:rPr>
            </w:pPr>
          </w:p>
        </w:tc>
        <w:tc>
          <w:tcPr>
            <w:tcW w:w="2020" w:type="dxa"/>
            <w:vAlign w:val="bottom"/>
            <w:tcBorders>
              <w:bottom w:val="single" w:sz="8" w:color="808080"/>
              <w:right w:val="single" w:sz="8" w:color="2C2C2C"/>
            </w:tcBorders>
          </w:tcPr>
          <w:p>
            <w:pPr>
              <w:spacing w:after="0"/>
              <w:rPr>
                <w:sz w:val="7"/>
                <w:szCs w:val="7"/>
                <w:color w:val="auto"/>
              </w:rPr>
            </w:pPr>
          </w:p>
        </w:tc>
        <w:tc>
          <w:tcPr>
            <w:tcW w:w="0" w:type="dxa"/>
            <w:vAlign w:val="bottom"/>
          </w:tcPr>
          <w:p>
            <w:pPr>
              <w:spacing w:after="0"/>
              <w:rPr>
                <w:sz w:val="1"/>
                <w:szCs w:val="1"/>
                <w:color w:val="auto"/>
              </w:rPr>
            </w:pPr>
          </w:p>
        </w:tc>
      </w:tr>
      <w:tr>
        <w:trPr>
          <w:trHeight w:val="256"/>
        </w:trPr>
        <w:tc>
          <w:tcPr>
            <w:tcW w:w="2020" w:type="dxa"/>
            <w:vAlign w:val="bottom"/>
            <w:tcBorders>
              <w:left w:val="single" w:sz="8" w:color="2C2C2C"/>
              <w:right w:val="single" w:sz="8" w:color="808080"/>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M3 Integrated</w:t>
            </w:r>
          </w:p>
        </w:tc>
        <w:tc>
          <w:tcPr>
            <w:tcW w:w="2000" w:type="dxa"/>
            <w:vAlign w:val="bottom"/>
            <w:tcBorders>
              <w:right w:val="single" w:sz="8" w:color="808080"/>
            </w:tcBorders>
            <w:vMerge w:val="restart"/>
          </w:tcPr>
          <w:p>
            <w:pPr>
              <w:spacing w:after="0"/>
              <w:rPr>
                <w:sz w:val="20"/>
                <w:szCs w:val="20"/>
                <w:color w:val="auto"/>
              </w:rPr>
            </w:pPr>
            <w:r>
              <w:rPr>
                <w:rFonts w:ascii="Times New Roman" w:cs="Times New Roman" w:eastAsia="Times New Roman" w:hAnsi="Times New Roman"/>
                <w:sz w:val="24"/>
                <w:szCs w:val="24"/>
                <w:color w:val="auto"/>
              </w:rPr>
              <w:t>$200,490</w:t>
            </w:r>
          </w:p>
        </w:tc>
        <w:tc>
          <w:tcPr>
            <w:tcW w:w="120" w:type="dxa"/>
            <w:vAlign w:val="bottom"/>
            <w:vMerge w:val="restart"/>
          </w:tcPr>
          <w:p>
            <w:pPr>
              <w:spacing w:after="0"/>
              <w:rPr>
                <w:sz w:val="20"/>
                <w:szCs w:val="20"/>
                <w:color w:val="auto"/>
              </w:rPr>
            </w:pPr>
            <w:r>
              <w:rPr>
                <w:rFonts w:ascii="Times New Roman" w:cs="Times New Roman" w:eastAsia="Times New Roman" w:hAnsi="Times New Roman"/>
                <w:sz w:val="24"/>
                <w:szCs w:val="24"/>
                <w:color w:val="auto"/>
                <w:w w:val="82"/>
              </w:rPr>
              <w:t>$</w:t>
            </w:r>
          </w:p>
        </w:tc>
        <w:tc>
          <w:tcPr>
            <w:tcW w:w="1880" w:type="dxa"/>
            <w:vAlign w:val="bottom"/>
            <w:tcBorders>
              <w:right w:val="single" w:sz="8" w:color="808080"/>
            </w:tcBorders>
            <w:vMerge w:val="restart"/>
          </w:tcPr>
          <w:p>
            <w:pPr>
              <w:jc w:val="right"/>
              <w:ind w:right="1100"/>
              <w:spacing w:after="0"/>
              <w:rPr>
                <w:sz w:val="20"/>
                <w:szCs w:val="20"/>
                <w:color w:val="auto"/>
              </w:rPr>
            </w:pPr>
            <w:r>
              <w:rPr>
                <w:rFonts w:ascii="Times New Roman" w:cs="Times New Roman" w:eastAsia="Times New Roman" w:hAnsi="Times New Roman"/>
                <w:sz w:val="24"/>
                <w:szCs w:val="24"/>
                <w:color w:val="auto"/>
                <w:w w:val="96"/>
              </w:rPr>
              <w:t>51,725</w:t>
            </w:r>
          </w:p>
        </w:tc>
        <w:tc>
          <w:tcPr>
            <w:tcW w:w="2000" w:type="dxa"/>
            <w:vAlign w:val="bottom"/>
            <w:tcBorders>
              <w:right w:val="single" w:sz="8" w:color="808080"/>
            </w:tcBorders>
            <w:vMerge w:val="restart"/>
          </w:tcPr>
          <w:p>
            <w:pPr>
              <w:spacing w:after="0"/>
              <w:rPr>
                <w:sz w:val="20"/>
                <w:szCs w:val="20"/>
                <w:color w:val="auto"/>
              </w:rPr>
            </w:pPr>
            <w:r>
              <w:rPr>
                <w:rFonts w:ascii="Times New Roman" w:cs="Times New Roman" w:eastAsia="Times New Roman" w:hAnsi="Times New Roman"/>
                <w:sz w:val="24"/>
                <w:szCs w:val="24"/>
                <w:color w:val="auto"/>
              </w:rPr>
              <w:t>$15,290</w:t>
            </w:r>
          </w:p>
        </w:tc>
        <w:tc>
          <w:tcPr>
            <w:tcW w:w="2020" w:type="dxa"/>
            <w:vAlign w:val="bottom"/>
            <w:tcBorders>
              <w:right w:val="single" w:sz="8" w:color="2C2C2C"/>
            </w:tcBorders>
            <w:vMerge w:val="restart"/>
          </w:tcPr>
          <w:p>
            <w:pPr>
              <w:spacing w:after="0"/>
              <w:rPr>
                <w:sz w:val="20"/>
                <w:szCs w:val="20"/>
                <w:color w:val="auto"/>
              </w:rPr>
            </w:pPr>
            <w:r>
              <w:rPr>
                <w:rFonts w:ascii="Times New Roman" w:cs="Times New Roman" w:eastAsia="Times New Roman" w:hAnsi="Times New Roman"/>
                <w:sz w:val="24"/>
                <w:szCs w:val="24"/>
                <w:color w:val="auto"/>
              </w:rPr>
              <w:t>$267,505</w:t>
            </w:r>
          </w:p>
        </w:tc>
        <w:tc>
          <w:tcPr>
            <w:tcW w:w="0" w:type="dxa"/>
            <w:vAlign w:val="bottom"/>
          </w:tcPr>
          <w:p>
            <w:pPr>
              <w:spacing w:after="0"/>
              <w:rPr>
                <w:sz w:val="1"/>
                <w:szCs w:val="1"/>
                <w:color w:val="auto"/>
              </w:rPr>
            </w:pPr>
          </w:p>
        </w:tc>
      </w:tr>
      <w:tr>
        <w:trPr>
          <w:trHeight w:val="168"/>
        </w:trPr>
        <w:tc>
          <w:tcPr>
            <w:tcW w:w="2020" w:type="dxa"/>
            <w:vAlign w:val="bottom"/>
            <w:tcBorders>
              <w:left w:val="single" w:sz="8" w:color="2C2C2C"/>
              <w:right w:val="single" w:sz="8" w:color="808080"/>
            </w:tcBorders>
            <w:vMerge w:val="restart"/>
          </w:tcPr>
          <w:p>
            <w:pPr>
              <w:ind w:left="20"/>
              <w:spacing w:after="0"/>
              <w:rPr>
                <w:sz w:val="20"/>
                <w:szCs w:val="20"/>
                <w:color w:val="auto"/>
              </w:rPr>
            </w:pPr>
            <w:r>
              <w:rPr>
                <w:rFonts w:ascii="Times New Roman" w:cs="Times New Roman" w:eastAsia="Times New Roman" w:hAnsi="Times New Roman"/>
                <w:sz w:val="24"/>
                <w:szCs w:val="24"/>
                <w:color w:val="auto"/>
              </w:rPr>
              <w:t>Services, Inc.</w:t>
            </w:r>
          </w:p>
        </w:tc>
        <w:tc>
          <w:tcPr>
            <w:tcW w:w="2000" w:type="dxa"/>
            <w:vAlign w:val="bottom"/>
            <w:tcBorders>
              <w:right w:val="single" w:sz="8" w:color="808080"/>
            </w:tcBorders>
            <w:vMerge w:val="continue"/>
          </w:tcPr>
          <w:p>
            <w:pPr>
              <w:spacing w:after="0"/>
              <w:rPr>
                <w:sz w:val="14"/>
                <w:szCs w:val="14"/>
                <w:color w:val="auto"/>
              </w:rPr>
            </w:pPr>
          </w:p>
        </w:tc>
        <w:tc>
          <w:tcPr>
            <w:tcW w:w="120" w:type="dxa"/>
            <w:vAlign w:val="bottom"/>
            <w:vMerge w:val="continue"/>
          </w:tcPr>
          <w:p>
            <w:pPr>
              <w:spacing w:after="0"/>
              <w:rPr>
                <w:sz w:val="14"/>
                <w:szCs w:val="14"/>
                <w:color w:val="auto"/>
              </w:rPr>
            </w:pPr>
          </w:p>
        </w:tc>
        <w:tc>
          <w:tcPr>
            <w:tcW w:w="1880" w:type="dxa"/>
            <w:vAlign w:val="bottom"/>
            <w:tcBorders>
              <w:right w:val="single" w:sz="8" w:color="808080"/>
            </w:tcBorders>
            <w:vMerge w:val="continue"/>
          </w:tcPr>
          <w:p>
            <w:pPr>
              <w:spacing w:after="0"/>
              <w:rPr>
                <w:sz w:val="14"/>
                <w:szCs w:val="14"/>
                <w:color w:val="auto"/>
              </w:rPr>
            </w:pPr>
          </w:p>
        </w:tc>
        <w:tc>
          <w:tcPr>
            <w:tcW w:w="2000" w:type="dxa"/>
            <w:vAlign w:val="bottom"/>
            <w:tcBorders>
              <w:right w:val="single" w:sz="8" w:color="808080"/>
            </w:tcBorders>
            <w:vMerge w:val="continue"/>
          </w:tcPr>
          <w:p>
            <w:pPr>
              <w:spacing w:after="0"/>
              <w:rPr>
                <w:sz w:val="14"/>
                <w:szCs w:val="14"/>
                <w:color w:val="auto"/>
              </w:rPr>
            </w:pPr>
          </w:p>
        </w:tc>
        <w:tc>
          <w:tcPr>
            <w:tcW w:w="2020" w:type="dxa"/>
            <w:vAlign w:val="bottom"/>
            <w:tcBorders>
              <w:right w:val="single" w:sz="8" w:color="2C2C2C"/>
            </w:tcBorders>
            <w:vMerge w:val="continue"/>
          </w:tcPr>
          <w:p>
            <w:pPr>
              <w:spacing w:after="0"/>
              <w:rPr>
                <w:sz w:val="14"/>
                <w:szCs w:val="14"/>
                <w:color w:val="auto"/>
              </w:rPr>
            </w:pPr>
          </w:p>
        </w:tc>
        <w:tc>
          <w:tcPr>
            <w:tcW w:w="0" w:type="dxa"/>
            <w:vAlign w:val="bottom"/>
          </w:tcPr>
          <w:p>
            <w:pPr>
              <w:spacing w:after="0"/>
              <w:rPr>
                <w:sz w:val="1"/>
                <w:szCs w:val="1"/>
                <w:color w:val="auto"/>
              </w:rPr>
            </w:pPr>
          </w:p>
        </w:tc>
      </w:tr>
      <w:tr>
        <w:trPr>
          <w:trHeight w:val="144"/>
        </w:trPr>
        <w:tc>
          <w:tcPr>
            <w:tcW w:w="2020" w:type="dxa"/>
            <w:vAlign w:val="bottom"/>
            <w:tcBorders>
              <w:left w:val="single" w:sz="8" w:color="2C2C2C"/>
              <w:bottom w:val="single" w:sz="8" w:color="808080"/>
              <w:right w:val="single" w:sz="8" w:color="808080"/>
            </w:tcBorders>
            <w:vMerge w:val="continue"/>
          </w:tcPr>
          <w:p>
            <w:pPr>
              <w:spacing w:after="0"/>
              <w:rPr>
                <w:sz w:val="12"/>
                <w:szCs w:val="12"/>
                <w:color w:val="auto"/>
              </w:rPr>
            </w:pPr>
          </w:p>
        </w:tc>
        <w:tc>
          <w:tcPr>
            <w:tcW w:w="2000" w:type="dxa"/>
            <w:vAlign w:val="bottom"/>
            <w:tcBorders>
              <w:bottom w:val="single" w:sz="8" w:color="808080"/>
              <w:right w:val="single" w:sz="8" w:color="808080"/>
            </w:tcBorders>
          </w:tcPr>
          <w:p>
            <w:pPr>
              <w:spacing w:after="0"/>
              <w:rPr>
                <w:sz w:val="12"/>
                <w:szCs w:val="12"/>
                <w:color w:val="auto"/>
              </w:rPr>
            </w:pPr>
          </w:p>
        </w:tc>
        <w:tc>
          <w:tcPr>
            <w:tcW w:w="120" w:type="dxa"/>
            <w:vAlign w:val="bottom"/>
            <w:tcBorders>
              <w:bottom w:val="single" w:sz="8" w:color="808080"/>
            </w:tcBorders>
          </w:tcPr>
          <w:p>
            <w:pPr>
              <w:spacing w:after="0"/>
              <w:rPr>
                <w:sz w:val="12"/>
                <w:szCs w:val="12"/>
                <w:color w:val="auto"/>
              </w:rPr>
            </w:pPr>
          </w:p>
        </w:tc>
        <w:tc>
          <w:tcPr>
            <w:tcW w:w="1880" w:type="dxa"/>
            <w:vAlign w:val="bottom"/>
            <w:tcBorders>
              <w:bottom w:val="single" w:sz="8" w:color="808080"/>
              <w:right w:val="single" w:sz="8" w:color="808080"/>
            </w:tcBorders>
          </w:tcPr>
          <w:p>
            <w:pPr>
              <w:spacing w:after="0"/>
              <w:rPr>
                <w:sz w:val="12"/>
                <w:szCs w:val="12"/>
                <w:color w:val="auto"/>
              </w:rPr>
            </w:pPr>
          </w:p>
        </w:tc>
        <w:tc>
          <w:tcPr>
            <w:tcW w:w="2000" w:type="dxa"/>
            <w:vAlign w:val="bottom"/>
            <w:tcBorders>
              <w:bottom w:val="single" w:sz="8" w:color="808080"/>
              <w:right w:val="single" w:sz="8" w:color="808080"/>
            </w:tcBorders>
          </w:tcPr>
          <w:p>
            <w:pPr>
              <w:spacing w:after="0"/>
              <w:rPr>
                <w:sz w:val="12"/>
                <w:szCs w:val="12"/>
                <w:color w:val="auto"/>
              </w:rPr>
            </w:pPr>
          </w:p>
        </w:tc>
        <w:tc>
          <w:tcPr>
            <w:tcW w:w="2020" w:type="dxa"/>
            <w:vAlign w:val="bottom"/>
            <w:tcBorders>
              <w:bottom w:val="single" w:sz="8" w:color="808080"/>
              <w:right w:val="single" w:sz="8" w:color="2C2C2C"/>
            </w:tcBorders>
          </w:tcPr>
          <w:p>
            <w:pPr>
              <w:spacing w:after="0"/>
              <w:rPr>
                <w:sz w:val="12"/>
                <w:szCs w:val="12"/>
                <w:color w:val="auto"/>
              </w:rPr>
            </w:pPr>
          </w:p>
        </w:tc>
        <w:tc>
          <w:tcPr>
            <w:tcW w:w="0" w:type="dxa"/>
            <w:vAlign w:val="bottom"/>
          </w:tcPr>
          <w:p>
            <w:pPr>
              <w:spacing w:after="0"/>
              <w:rPr>
                <w:sz w:val="1"/>
                <w:szCs w:val="1"/>
                <w:color w:val="auto"/>
              </w:rPr>
            </w:pPr>
          </w:p>
        </w:tc>
      </w:tr>
      <w:tr>
        <w:trPr>
          <w:trHeight w:val="292"/>
        </w:trPr>
        <w:tc>
          <w:tcPr>
            <w:tcW w:w="2020" w:type="dxa"/>
            <w:vAlign w:val="bottom"/>
            <w:tcBorders>
              <w:left w:val="single" w:sz="8" w:color="2C2C2C"/>
              <w:bottom w:val="single" w:sz="8" w:color="808080"/>
              <w:right w:val="single" w:sz="8" w:color="808080"/>
            </w:tcBorders>
          </w:tcPr>
          <w:p>
            <w:pPr>
              <w:ind w:left="20"/>
              <w:spacing w:after="0"/>
              <w:rPr>
                <w:sz w:val="20"/>
                <w:szCs w:val="20"/>
                <w:color w:val="auto"/>
              </w:rPr>
            </w:pPr>
            <w:r>
              <w:rPr>
                <w:rFonts w:ascii="Times New Roman" w:cs="Times New Roman" w:eastAsia="Times New Roman" w:hAnsi="Times New Roman"/>
                <w:sz w:val="24"/>
                <w:szCs w:val="24"/>
                <w:color w:val="auto"/>
              </w:rPr>
              <w:t>Rubicon Builders</w:t>
            </w:r>
          </w:p>
        </w:tc>
        <w:tc>
          <w:tcPr>
            <w:tcW w:w="2000" w:type="dxa"/>
            <w:vAlign w:val="bottom"/>
            <w:tcBorders>
              <w:bottom w:val="single" w:sz="8" w:color="808080"/>
              <w:right w:val="single" w:sz="8" w:color="808080"/>
            </w:tcBorders>
          </w:tcPr>
          <w:p>
            <w:pPr>
              <w:spacing w:after="0"/>
              <w:rPr>
                <w:sz w:val="20"/>
                <w:szCs w:val="20"/>
                <w:color w:val="auto"/>
              </w:rPr>
            </w:pPr>
            <w:r>
              <w:rPr>
                <w:rFonts w:ascii="Times New Roman" w:cs="Times New Roman" w:eastAsia="Times New Roman" w:hAnsi="Times New Roman"/>
                <w:sz w:val="24"/>
                <w:szCs w:val="24"/>
                <w:color w:val="auto"/>
              </w:rPr>
              <w:t>$477,000</w:t>
            </w:r>
          </w:p>
        </w:tc>
        <w:tc>
          <w:tcPr>
            <w:tcW w:w="120" w:type="dxa"/>
            <w:vAlign w:val="bottom"/>
            <w:tcBorders>
              <w:bottom w:val="single" w:sz="8" w:color="808080"/>
            </w:tcBorders>
          </w:tcPr>
          <w:p>
            <w:pPr>
              <w:spacing w:after="0"/>
              <w:rPr>
                <w:sz w:val="20"/>
                <w:szCs w:val="20"/>
                <w:color w:val="auto"/>
              </w:rPr>
            </w:pPr>
            <w:r>
              <w:rPr>
                <w:rFonts w:ascii="Times New Roman" w:cs="Times New Roman" w:eastAsia="Times New Roman" w:hAnsi="Times New Roman"/>
                <w:sz w:val="24"/>
                <w:szCs w:val="24"/>
                <w:color w:val="auto"/>
                <w:w w:val="82"/>
              </w:rPr>
              <w:t>$</w:t>
            </w:r>
          </w:p>
        </w:tc>
        <w:tc>
          <w:tcPr>
            <w:tcW w:w="1880" w:type="dxa"/>
            <w:vAlign w:val="bottom"/>
            <w:tcBorders>
              <w:bottom w:val="single" w:sz="8" w:color="808080"/>
              <w:right w:val="single" w:sz="8" w:color="808080"/>
            </w:tcBorders>
          </w:tcPr>
          <w:p>
            <w:pPr>
              <w:jc w:val="right"/>
              <w:ind w:right="1100"/>
              <w:spacing w:after="0"/>
              <w:rPr>
                <w:sz w:val="20"/>
                <w:szCs w:val="20"/>
                <w:color w:val="auto"/>
              </w:rPr>
            </w:pPr>
            <w:r>
              <w:rPr>
                <w:rFonts w:ascii="Times New Roman" w:cs="Times New Roman" w:eastAsia="Times New Roman" w:hAnsi="Times New Roman"/>
                <w:sz w:val="24"/>
                <w:szCs w:val="24"/>
                <w:color w:val="auto"/>
              </w:rPr>
              <w:t>5,000</w:t>
            </w:r>
          </w:p>
        </w:tc>
        <w:tc>
          <w:tcPr>
            <w:tcW w:w="2000" w:type="dxa"/>
            <w:vAlign w:val="bottom"/>
            <w:tcBorders>
              <w:bottom w:val="single" w:sz="8" w:color="808080"/>
              <w:right w:val="single" w:sz="8" w:color="808080"/>
            </w:tcBorders>
          </w:tcPr>
          <w:p>
            <w:pPr>
              <w:spacing w:after="0"/>
              <w:rPr>
                <w:sz w:val="20"/>
                <w:szCs w:val="20"/>
                <w:color w:val="auto"/>
              </w:rPr>
            </w:pPr>
            <w:r>
              <w:rPr>
                <w:rFonts w:ascii="Times New Roman" w:cs="Times New Roman" w:eastAsia="Times New Roman" w:hAnsi="Times New Roman"/>
                <w:sz w:val="24"/>
                <w:szCs w:val="24"/>
                <w:color w:val="auto"/>
              </w:rPr>
              <w:t>$24,000</w:t>
            </w:r>
          </w:p>
        </w:tc>
        <w:tc>
          <w:tcPr>
            <w:tcW w:w="2020" w:type="dxa"/>
            <w:vAlign w:val="bottom"/>
            <w:tcBorders>
              <w:bottom w:val="single" w:sz="8" w:color="808080"/>
              <w:right w:val="single" w:sz="8" w:color="2C2C2C"/>
            </w:tcBorders>
          </w:tcPr>
          <w:p>
            <w:pPr>
              <w:spacing w:after="0"/>
              <w:rPr>
                <w:sz w:val="20"/>
                <w:szCs w:val="20"/>
                <w:color w:val="auto"/>
              </w:rPr>
            </w:pPr>
            <w:r>
              <w:rPr>
                <w:rFonts w:ascii="Times New Roman" w:cs="Times New Roman" w:eastAsia="Times New Roman" w:hAnsi="Times New Roman"/>
                <w:sz w:val="24"/>
                <w:szCs w:val="24"/>
                <w:color w:val="auto"/>
              </w:rPr>
              <w:t>$506,000</w:t>
            </w:r>
          </w:p>
        </w:tc>
        <w:tc>
          <w:tcPr>
            <w:tcW w:w="0" w:type="dxa"/>
            <w:vAlign w:val="bottom"/>
          </w:tcPr>
          <w:p>
            <w:pPr>
              <w:spacing w:after="0"/>
              <w:rPr>
                <w:sz w:val="1"/>
                <w:szCs w:val="1"/>
                <w:color w:val="auto"/>
              </w:rPr>
            </w:pPr>
          </w:p>
        </w:tc>
      </w:tr>
      <w:tr>
        <w:trPr>
          <w:trHeight w:val="256"/>
        </w:trPr>
        <w:tc>
          <w:tcPr>
            <w:tcW w:w="2020" w:type="dxa"/>
            <w:vAlign w:val="bottom"/>
            <w:tcBorders>
              <w:left w:val="single" w:sz="8" w:color="2C2C2C"/>
              <w:right w:val="single" w:sz="8" w:color="808080"/>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California State</w:t>
            </w:r>
          </w:p>
        </w:tc>
        <w:tc>
          <w:tcPr>
            <w:tcW w:w="2000" w:type="dxa"/>
            <w:vAlign w:val="bottom"/>
            <w:tcBorders>
              <w:right w:val="single" w:sz="8" w:color="808080"/>
            </w:tcBorders>
          </w:tcPr>
          <w:p>
            <w:pPr>
              <w:spacing w:after="0"/>
              <w:rPr>
                <w:sz w:val="22"/>
                <w:szCs w:val="22"/>
                <w:color w:val="auto"/>
              </w:rPr>
            </w:pPr>
          </w:p>
        </w:tc>
        <w:tc>
          <w:tcPr>
            <w:tcW w:w="120" w:type="dxa"/>
            <w:vAlign w:val="bottom"/>
          </w:tcPr>
          <w:p>
            <w:pPr>
              <w:spacing w:after="0"/>
              <w:rPr>
                <w:sz w:val="22"/>
                <w:szCs w:val="22"/>
                <w:color w:val="auto"/>
              </w:rPr>
            </w:pPr>
          </w:p>
        </w:tc>
        <w:tc>
          <w:tcPr>
            <w:tcW w:w="1880" w:type="dxa"/>
            <w:vAlign w:val="bottom"/>
            <w:tcBorders>
              <w:right w:val="single" w:sz="8" w:color="808080"/>
            </w:tcBorders>
          </w:tcPr>
          <w:p>
            <w:pPr>
              <w:spacing w:after="0"/>
              <w:rPr>
                <w:sz w:val="22"/>
                <w:szCs w:val="22"/>
                <w:color w:val="auto"/>
              </w:rPr>
            </w:pPr>
          </w:p>
        </w:tc>
        <w:tc>
          <w:tcPr>
            <w:tcW w:w="2000" w:type="dxa"/>
            <w:vAlign w:val="bottom"/>
            <w:tcBorders>
              <w:right w:val="single" w:sz="8" w:color="808080"/>
            </w:tcBorders>
          </w:tcPr>
          <w:p>
            <w:pPr>
              <w:spacing w:after="0"/>
              <w:rPr>
                <w:sz w:val="22"/>
                <w:szCs w:val="22"/>
                <w:color w:val="auto"/>
              </w:rPr>
            </w:pPr>
          </w:p>
        </w:tc>
        <w:tc>
          <w:tcPr>
            <w:tcW w:w="2020" w:type="dxa"/>
            <w:vAlign w:val="bottom"/>
            <w:tcBorders>
              <w:right w:val="single" w:sz="8" w:color="2C2C2C"/>
            </w:tcBorders>
          </w:tcPr>
          <w:p>
            <w:pPr>
              <w:spacing w:after="0"/>
              <w:rPr>
                <w:sz w:val="22"/>
                <w:szCs w:val="22"/>
                <w:color w:val="auto"/>
              </w:rPr>
            </w:pPr>
          </w:p>
        </w:tc>
        <w:tc>
          <w:tcPr>
            <w:tcW w:w="0" w:type="dxa"/>
            <w:vAlign w:val="bottom"/>
          </w:tcPr>
          <w:p>
            <w:pPr>
              <w:spacing w:after="0"/>
              <w:rPr>
                <w:sz w:val="1"/>
                <w:szCs w:val="1"/>
                <w:color w:val="auto"/>
              </w:rPr>
            </w:pPr>
          </w:p>
        </w:tc>
      </w:tr>
      <w:tr>
        <w:trPr>
          <w:trHeight w:val="276"/>
        </w:trPr>
        <w:tc>
          <w:tcPr>
            <w:tcW w:w="2020" w:type="dxa"/>
            <w:vAlign w:val="bottom"/>
            <w:tcBorders>
              <w:left w:val="single" w:sz="8" w:color="2C2C2C"/>
              <w:right w:val="single" w:sz="8" w:color="808080"/>
            </w:tcBorders>
          </w:tcPr>
          <w:p>
            <w:pPr>
              <w:ind w:left="20"/>
              <w:spacing w:after="0"/>
              <w:rPr>
                <w:sz w:val="20"/>
                <w:szCs w:val="20"/>
                <w:color w:val="auto"/>
              </w:rPr>
            </w:pPr>
            <w:r>
              <w:rPr>
                <w:rFonts w:ascii="Times New Roman" w:cs="Times New Roman" w:eastAsia="Times New Roman" w:hAnsi="Times New Roman"/>
                <w:sz w:val="24"/>
                <w:szCs w:val="24"/>
                <w:color w:val="auto"/>
              </w:rPr>
              <w:t>Insulation &amp;</w:t>
            </w:r>
          </w:p>
        </w:tc>
        <w:tc>
          <w:tcPr>
            <w:tcW w:w="2000" w:type="dxa"/>
            <w:vAlign w:val="bottom"/>
            <w:tcBorders>
              <w:right w:val="single" w:sz="8" w:color="808080"/>
            </w:tcBorders>
          </w:tcPr>
          <w:p>
            <w:pPr>
              <w:spacing w:after="0"/>
              <w:rPr>
                <w:sz w:val="20"/>
                <w:szCs w:val="20"/>
                <w:color w:val="auto"/>
              </w:rPr>
            </w:pPr>
            <w:r>
              <w:rPr>
                <w:rFonts w:ascii="Times New Roman" w:cs="Times New Roman" w:eastAsia="Times New Roman" w:hAnsi="Times New Roman"/>
                <w:sz w:val="24"/>
                <w:szCs w:val="24"/>
                <w:color w:val="auto"/>
              </w:rPr>
              <w:t>$800,560</w:t>
            </w:r>
          </w:p>
        </w:tc>
        <w:tc>
          <w:tcPr>
            <w:tcW w:w="120" w:type="dxa"/>
            <w:vAlign w:val="bottom"/>
          </w:tcPr>
          <w:p>
            <w:pPr>
              <w:spacing w:after="0"/>
              <w:rPr>
                <w:sz w:val="20"/>
                <w:szCs w:val="20"/>
                <w:color w:val="auto"/>
              </w:rPr>
            </w:pPr>
            <w:r>
              <w:rPr>
                <w:rFonts w:ascii="Times New Roman" w:cs="Times New Roman" w:eastAsia="Times New Roman" w:hAnsi="Times New Roman"/>
                <w:sz w:val="24"/>
                <w:szCs w:val="24"/>
                <w:color w:val="auto"/>
                <w:w w:val="82"/>
              </w:rPr>
              <w:t>$</w:t>
            </w:r>
          </w:p>
        </w:tc>
        <w:tc>
          <w:tcPr>
            <w:tcW w:w="1880" w:type="dxa"/>
            <w:vAlign w:val="bottom"/>
            <w:tcBorders>
              <w:right w:val="single" w:sz="8" w:color="808080"/>
            </w:tcBorders>
          </w:tcPr>
          <w:p>
            <w:pPr>
              <w:jc w:val="right"/>
              <w:ind w:right="1100"/>
              <w:spacing w:after="0"/>
              <w:rPr>
                <w:sz w:val="20"/>
                <w:szCs w:val="20"/>
                <w:color w:val="auto"/>
              </w:rPr>
            </w:pPr>
            <w:r>
              <w:rPr>
                <w:rFonts w:ascii="Times New Roman" w:cs="Times New Roman" w:eastAsia="Times New Roman" w:hAnsi="Times New Roman"/>
                <w:sz w:val="24"/>
                <w:szCs w:val="24"/>
                <w:color w:val="auto"/>
                <w:w w:val="96"/>
              </w:rPr>
              <w:t>60,000</w:t>
            </w:r>
          </w:p>
        </w:tc>
        <w:tc>
          <w:tcPr>
            <w:tcW w:w="2000" w:type="dxa"/>
            <w:vAlign w:val="bottom"/>
            <w:tcBorders>
              <w:right w:val="single" w:sz="8" w:color="808080"/>
            </w:tcBorders>
          </w:tcPr>
          <w:p>
            <w:pPr>
              <w:spacing w:after="0"/>
              <w:rPr>
                <w:sz w:val="20"/>
                <w:szCs w:val="20"/>
                <w:color w:val="auto"/>
              </w:rPr>
            </w:pPr>
            <w:r>
              <w:rPr>
                <w:rFonts w:ascii="Times New Roman" w:cs="Times New Roman" w:eastAsia="Times New Roman" w:hAnsi="Times New Roman"/>
                <w:sz w:val="24"/>
                <w:szCs w:val="24"/>
                <w:color w:val="auto"/>
              </w:rPr>
              <w:t>$85,000</w:t>
            </w:r>
          </w:p>
        </w:tc>
        <w:tc>
          <w:tcPr>
            <w:tcW w:w="2020" w:type="dxa"/>
            <w:vAlign w:val="bottom"/>
            <w:tcBorders>
              <w:right w:val="single" w:sz="8" w:color="2C2C2C"/>
            </w:tcBorders>
          </w:tcPr>
          <w:p>
            <w:pPr>
              <w:spacing w:after="0"/>
              <w:rPr>
                <w:sz w:val="20"/>
                <w:szCs w:val="20"/>
                <w:color w:val="auto"/>
              </w:rPr>
            </w:pPr>
            <w:r>
              <w:rPr>
                <w:rFonts w:ascii="Times New Roman" w:cs="Times New Roman" w:eastAsia="Times New Roman" w:hAnsi="Times New Roman"/>
                <w:sz w:val="24"/>
                <w:szCs w:val="24"/>
                <w:color w:val="auto"/>
              </w:rPr>
              <w:t>$945,560</w:t>
            </w:r>
          </w:p>
        </w:tc>
        <w:tc>
          <w:tcPr>
            <w:tcW w:w="0" w:type="dxa"/>
            <w:vAlign w:val="bottom"/>
          </w:tcPr>
          <w:p>
            <w:pPr>
              <w:spacing w:after="0"/>
              <w:rPr>
                <w:sz w:val="1"/>
                <w:szCs w:val="1"/>
                <w:color w:val="auto"/>
              </w:rPr>
            </w:pPr>
          </w:p>
        </w:tc>
      </w:tr>
      <w:tr>
        <w:trPr>
          <w:trHeight w:val="312"/>
        </w:trPr>
        <w:tc>
          <w:tcPr>
            <w:tcW w:w="2020" w:type="dxa"/>
            <w:vAlign w:val="bottom"/>
            <w:tcBorders>
              <w:left w:val="single" w:sz="8" w:color="2C2C2C"/>
              <w:bottom w:val="single" w:sz="8" w:color="2C2C2C"/>
              <w:right w:val="single" w:sz="8" w:color="808080"/>
            </w:tcBorders>
          </w:tcPr>
          <w:p>
            <w:pPr>
              <w:ind w:left="20"/>
              <w:spacing w:after="0"/>
              <w:rPr>
                <w:sz w:val="20"/>
                <w:szCs w:val="20"/>
                <w:color w:val="auto"/>
              </w:rPr>
            </w:pPr>
            <w:r>
              <w:rPr>
                <w:rFonts w:ascii="Times New Roman" w:cs="Times New Roman" w:eastAsia="Times New Roman" w:hAnsi="Times New Roman"/>
                <w:sz w:val="24"/>
                <w:szCs w:val="24"/>
                <w:color w:val="auto"/>
              </w:rPr>
              <w:t>General Contractors</w:t>
            </w:r>
          </w:p>
        </w:tc>
        <w:tc>
          <w:tcPr>
            <w:tcW w:w="2000" w:type="dxa"/>
            <w:vAlign w:val="bottom"/>
            <w:tcBorders>
              <w:bottom w:val="single" w:sz="8" w:color="2C2C2C"/>
              <w:right w:val="single" w:sz="8" w:color="808080"/>
            </w:tcBorders>
          </w:tcPr>
          <w:p>
            <w:pPr>
              <w:spacing w:after="0"/>
              <w:rPr>
                <w:sz w:val="24"/>
                <w:szCs w:val="24"/>
                <w:color w:val="auto"/>
              </w:rPr>
            </w:pPr>
          </w:p>
        </w:tc>
        <w:tc>
          <w:tcPr>
            <w:tcW w:w="120" w:type="dxa"/>
            <w:vAlign w:val="bottom"/>
            <w:tcBorders>
              <w:bottom w:val="single" w:sz="8" w:color="2C2C2C"/>
            </w:tcBorders>
          </w:tcPr>
          <w:p>
            <w:pPr>
              <w:spacing w:after="0"/>
              <w:rPr>
                <w:sz w:val="24"/>
                <w:szCs w:val="24"/>
                <w:color w:val="auto"/>
              </w:rPr>
            </w:pPr>
          </w:p>
        </w:tc>
        <w:tc>
          <w:tcPr>
            <w:tcW w:w="1880" w:type="dxa"/>
            <w:vAlign w:val="bottom"/>
            <w:tcBorders>
              <w:bottom w:val="single" w:sz="8" w:color="2C2C2C"/>
              <w:right w:val="single" w:sz="8" w:color="808080"/>
            </w:tcBorders>
          </w:tcPr>
          <w:p>
            <w:pPr>
              <w:spacing w:after="0"/>
              <w:rPr>
                <w:sz w:val="24"/>
                <w:szCs w:val="24"/>
                <w:color w:val="auto"/>
              </w:rPr>
            </w:pPr>
          </w:p>
        </w:tc>
        <w:tc>
          <w:tcPr>
            <w:tcW w:w="2000" w:type="dxa"/>
            <w:vAlign w:val="bottom"/>
            <w:tcBorders>
              <w:bottom w:val="single" w:sz="8" w:color="2C2C2C"/>
              <w:right w:val="single" w:sz="8" w:color="808080"/>
            </w:tcBorders>
          </w:tcPr>
          <w:p>
            <w:pPr>
              <w:spacing w:after="0"/>
              <w:rPr>
                <w:sz w:val="24"/>
                <w:szCs w:val="24"/>
                <w:color w:val="auto"/>
              </w:rPr>
            </w:pPr>
          </w:p>
        </w:tc>
        <w:tc>
          <w:tcPr>
            <w:tcW w:w="2020" w:type="dxa"/>
            <w:vAlign w:val="bottom"/>
            <w:tcBorders>
              <w:bottom w:val="single" w:sz="8" w:color="2C2C2C"/>
              <w:right w:val="single" w:sz="8" w:color="2C2C2C"/>
            </w:tcBorders>
          </w:tcPr>
          <w:p>
            <w:pPr>
              <w:spacing w:after="0"/>
              <w:rPr>
                <w:sz w:val="24"/>
                <w:szCs w:val="24"/>
                <w:color w:val="auto"/>
              </w:rPr>
            </w:pPr>
          </w:p>
        </w:tc>
        <w:tc>
          <w:tcPr>
            <w:tcW w:w="0" w:type="dxa"/>
            <w:vAlign w:val="bottom"/>
          </w:tcPr>
          <w:p>
            <w:pPr>
              <w:spacing w:after="0"/>
              <w:rPr>
                <w:sz w:val="1"/>
                <w:szCs w:val="1"/>
                <w:color w:val="auto"/>
              </w:rPr>
            </w:pPr>
          </w:p>
        </w:tc>
      </w:tr>
    </w:tbl>
    <w:p>
      <w:pPr>
        <w:spacing w:after="0" w:line="252" w:lineRule="exact"/>
        <w:rPr>
          <w:sz w:val="20"/>
          <w:szCs w:val="20"/>
          <w:color w:val="auto"/>
        </w:rPr>
      </w:pPr>
    </w:p>
    <w:p>
      <w:pPr>
        <w:ind w:right="660"/>
        <w:spacing w:after="0" w:line="271" w:lineRule="auto"/>
        <w:rPr>
          <w:sz w:val="20"/>
          <w:szCs w:val="20"/>
          <w:color w:val="auto"/>
        </w:rPr>
      </w:pPr>
      <w:r>
        <w:rPr>
          <w:rFonts w:ascii="Times New Roman" w:cs="Times New Roman" w:eastAsia="Times New Roman" w:hAnsi="Times New Roman"/>
          <w:sz w:val="24"/>
          <w:szCs w:val="24"/>
          <w:color w:val="auto"/>
        </w:rPr>
        <w:t>The Town reviewed all bids with WHS and discussed the options. WHS is recommending to move forward and fund the base bid and both alternates.</w:t>
      </w:r>
    </w:p>
    <w:p>
      <w:pPr>
        <w:spacing w:after="0" w:line="205" w:lineRule="exact"/>
        <w:rPr>
          <w:sz w:val="20"/>
          <w:szCs w:val="20"/>
          <w:color w:val="auto"/>
        </w:rPr>
      </w:pPr>
    </w:p>
    <w:p>
      <w:pPr>
        <w:ind w:right="160"/>
        <w:spacing w:after="0" w:line="243" w:lineRule="auto"/>
        <w:rPr>
          <w:sz w:val="20"/>
          <w:szCs w:val="20"/>
          <w:color w:val="auto"/>
        </w:rPr>
      </w:pPr>
      <w:r>
        <w:rPr>
          <w:rFonts w:ascii="Times New Roman" w:cs="Times New Roman" w:eastAsia="Times New Roman" w:hAnsi="Times New Roman"/>
          <w:sz w:val="24"/>
          <w:szCs w:val="24"/>
          <w:color w:val="auto"/>
        </w:rPr>
        <w:t>Staff is recommending Council approve a Funding Agreement with the Windsor Historical Society in the amount not-to-exceed $344,255.50, and adopt a Resolution amending the approved Fiscal Year budget in the amount not-to-exceed $344,255.50, for the full cost of construction of the Cunningham House Rehabilitation Project including inspection and oversight by Green Valley Consulting Engineers, (Attachment 2). Staff is also recommending Council Approve Plans and Specifications (Attachment 3) and Award a Major Construction Agreement with the lowest bidder, M3 Integrated Services, Inc. (Attachment 4), for the construction of the project for a total project cost of $267,505 plus 10% contingency of $26,750.50, for a not-to-exceed amount of $294,255.50, funded by the Windsor Historical Society (WHS).</w:t>
      </w:r>
    </w:p>
    <w:p>
      <w:pPr>
        <w:spacing w:after="0" w:line="203"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Fiscal Impact:</w:t>
      </w:r>
    </w:p>
    <w:p>
      <w:pPr>
        <w:spacing w:after="0" w:line="32" w:lineRule="exact"/>
        <w:rPr>
          <w:sz w:val="20"/>
          <w:szCs w:val="20"/>
          <w:color w:val="auto"/>
        </w:rPr>
      </w:pPr>
    </w:p>
    <w:p>
      <w:pPr>
        <w:ind w:right="320"/>
        <w:spacing w:after="0" w:line="242" w:lineRule="auto"/>
        <w:rPr>
          <w:sz w:val="20"/>
          <w:szCs w:val="20"/>
          <w:color w:val="auto"/>
        </w:rPr>
      </w:pPr>
      <w:r>
        <w:rPr>
          <w:rFonts w:ascii="Times New Roman" w:cs="Times New Roman" w:eastAsia="Times New Roman" w:hAnsi="Times New Roman"/>
          <w:sz w:val="24"/>
          <w:szCs w:val="24"/>
          <w:color w:val="auto"/>
        </w:rPr>
        <w:t>Adopted appropriations in the FY 26/27 budget are not sufficient to cover the full cost of the proposed action item. However, the associated expenditure will be offset by a corresponding revenue source. A budget amendment is required to increase both revenues and appropriations. The following tables summarize the cost, budget amendment details, and resulting fund balance impact:</w:t>
      </w:r>
    </w:p>
    <w:p>
      <w:pPr>
        <w:spacing w:after="0" w:line="245" w:lineRule="exact"/>
        <w:rPr>
          <w:sz w:val="20"/>
          <w:szCs w:val="20"/>
          <w:color w:val="auto"/>
        </w:rPr>
      </w:pPr>
    </w:p>
    <w:tbl>
      <w:tblPr>
        <w:tblLayout w:type="fixed"/>
        <w:tblInd w:w="10" w:type="dxa"/>
        <w:tblCellMar>
          <w:top w:w="0" w:type="dxa"/>
          <w:left w:w="0" w:type="dxa"/>
          <w:bottom w:w="0" w:type="dxa"/>
          <w:right w:w="0" w:type="dxa"/>
        </w:tblCellMar>
      </w:tblPr>
      <w:tr>
        <w:trPr>
          <w:trHeight w:val="270"/>
        </w:trPr>
        <w:tc>
          <w:tcPr>
            <w:tcW w:w="2040" w:type="dxa"/>
            <w:vAlign w:val="bottom"/>
            <w:tcBorders>
              <w:top w:val="single" w:sz="8" w:color="2C2C2C"/>
              <w:left w:val="single" w:sz="8" w:color="2C2C2C"/>
              <w:right w:val="single" w:sz="8" w:color="808080"/>
            </w:tcBorders>
          </w:tcPr>
          <w:p>
            <w:pPr>
              <w:spacing w:after="0"/>
              <w:rPr>
                <w:sz w:val="23"/>
                <w:szCs w:val="23"/>
                <w:color w:val="auto"/>
              </w:rPr>
            </w:pPr>
          </w:p>
        </w:tc>
        <w:tc>
          <w:tcPr>
            <w:tcW w:w="1960" w:type="dxa"/>
            <w:vAlign w:val="bottom"/>
            <w:tcBorders>
              <w:top w:val="single" w:sz="8" w:color="2C2C2C"/>
              <w:right w:val="single" w:sz="8" w:color="808080"/>
            </w:tcBorders>
          </w:tcPr>
          <w:p>
            <w:pPr>
              <w:spacing w:after="0"/>
              <w:rPr>
                <w:sz w:val="23"/>
                <w:szCs w:val="23"/>
                <w:color w:val="auto"/>
              </w:rPr>
            </w:pPr>
          </w:p>
        </w:tc>
        <w:tc>
          <w:tcPr>
            <w:tcW w:w="2000" w:type="dxa"/>
            <w:vAlign w:val="bottom"/>
            <w:tcBorders>
              <w:top w:val="single" w:sz="8" w:color="2C2C2C"/>
              <w:right w:val="single" w:sz="8" w:color="808080"/>
            </w:tcBorders>
          </w:tcPr>
          <w:p>
            <w:pPr>
              <w:spacing w:after="0"/>
              <w:rPr>
                <w:sz w:val="23"/>
                <w:szCs w:val="23"/>
                <w:color w:val="auto"/>
              </w:rPr>
            </w:pPr>
          </w:p>
        </w:tc>
        <w:tc>
          <w:tcPr>
            <w:tcW w:w="2020" w:type="dxa"/>
            <w:vAlign w:val="bottom"/>
            <w:tcBorders>
              <w:top w:val="single" w:sz="8" w:color="2C2C2C"/>
              <w:right w:val="single" w:sz="8" w:color="808080"/>
            </w:tcBorders>
          </w:tcPr>
          <w:p>
            <w:pPr>
              <w:ind w:left="20"/>
              <w:spacing w:after="0" w:line="270" w:lineRule="exact"/>
              <w:rPr>
                <w:sz w:val="20"/>
                <w:szCs w:val="20"/>
                <w:color w:val="auto"/>
              </w:rPr>
            </w:pPr>
            <w:r>
              <w:rPr>
                <w:rFonts w:ascii="Times New Roman" w:cs="Times New Roman" w:eastAsia="Times New Roman" w:hAnsi="Times New Roman"/>
                <w:sz w:val="24"/>
                <w:szCs w:val="24"/>
                <w:b w:val="1"/>
                <w:bCs w:val="1"/>
                <w:color w:val="auto"/>
              </w:rPr>
              <w:t>Budget</w:t>
            </w:r>
          </w:p>
        </w:tc>
        <w:tc>
          <w:tcPr>
            <w:tcW w:w="2020" w:type="dxa"/>
            <w:vAlign w:val="bottom"/>
            <w:tcBorders>
              <w:top w:val="single" w:sz="8" w:color="2C2C2C"/>
              <w:right w:val="single" w:sz="8" w:color="2C2C2C"/>
            </w:tcBorders>
          </w:tcPr>
          <w:p>
            <w:pPr>
              <w:spacing w:after="0" w:line="270" w:lineRule="exact"/>
              <w:rPr>
                <w:sz w:val="20"/>
                <w:szCs w:val="20"/>
                <w:color w:val="auto"/>
              </w:rPr>
            </w:pPr>
            <w:r>
              <w:rPr>
                <w:rFonts w:ascii="Times New Roman" w:cs="Times New Roman" w:eastAsia="Times New Roman" w:hAnsi="Times New Roman"/>
                <w:sz w:val="24"/>
                <w:szCs w:val="24"/>
                <w:b w:val="1"/>
                <w:bCs w:val="1"/>
                <w:color w:val="auto"/>
              </w:rPr>
              <w:t>Budget</w:t>
            </w:r>
          </w:p>
        </w:tc>
        <w:tc>
          <w:tcPr>
            <w:tcW w:w="0" w:type="dxa"/>
            <w:vAlign w:val="bottom"/>
          </w:tcPr>
          <w:p>
            <w:pPr>
              <w:spacing w:after="0"/>
              <w:rPr>
                <w:sz w:val="1"/>
                <w:szCs w:val="1"/>
                <w:color w:val="auto"/>
              </w:rPr>
            </w:pPr>
          </w:p>
        </w:tc>
      </w:tr>
      <w:tr>
        <w:trPr>
          <w:trHeight w:val="276"/>
        </w:trPr>
        <w:tc>
          <w:tcPr>
            <w:tcW w:w="2040" w:type="dxa"/>
            <w:vAlign w:val="bottom"/>
            <w:tcBorders>
              <w:left w:val="single" w:sz="8" w:color="2C2C2C"/>
              <w:right w:val="single" w:sz="8" w:color="808080"/>
            </w:tcBorders>
          </w:tcPr>
          <w:p>
            <w:pPr>
              <w:ind w:left="20"/>
              <w:spacing w:after="0"/>
              <w:rPr>
                <w:sz w:val="20"/>
                <w:szCs w:val="20"/>
                <w:color w:val="auto"/>
              </w:rPr>
            </w:pPr>
            <w:r>
              <w:rPr>
                <w:rFonts w:ascii="Times New Roman" w:cs="Times New Roman" w:eastAsia="Times New Roman" w:hAnsi="Times New Roman"/>
                <w:sz w:val="24"/>
                <w:szCs w:val="24"/>
                <w:b w:val="1"/>
                <w:bCs w:val="1"/>
                <w:color w:val="auto"/>
              </w:rPr>
              <w:t>Fund Name</w:t>
            </w:r>
          </w:p>
        </w:tc>
        <w:tc>
          <w:tcPr>
            <w:tcW w:w="1960" w:type="dxa"/>
            <w:vAlign w:val="bottom"/>
            <w:tcBorders>
              <w:right w:val="single" w:sz="8" w:color="808080"/>
            </w:tcBorders>
          </w:tcPr>
          <w:p>
            <w:pPr>
              <w:spacing w:after="0"/>
              <w:rPr>
                <w:sz w:val="20"/>
                <w:szCs w:val="20"/>
                <w:color w:val="auto"/>
              </w:rPr>
            </w:pPr>
            <w:r>
              <w:rPr>
                <w:rFonts w:ascii="Times New Roman" w:cs="Times New Roman" w:eastAsia="Times New Roman" w:hAnsi="Times New Roman"/>
                <w:sz w:val="24"/>
                <w:szCs w:val="24"/>
                <w:b w:val="1"/>
                <w:bCs w:val="1"/>
                <w:color w:val="auto"/>
              </w:rPr>
              <w:t>Cost</w:t>
            </w:r>
          </w:p>
        </w:tc>
        <w:tc>
          <w:tcPr>
            <w:tcW w:w="2000" w:type="dxa"/>
            <w:vAlign w:val="bottom"/>
            <w:tcBorders>
              <w:right w:val="single" w:sz="8" w:color="808080"/>
            </w:tcBorders>
          </w:tcPr>
          <w:p>
            <w:pPr>
              <w:spacing w:after="0"/>
              <w:rPr>
                <w:sz w:val="20"/>
                <w:szCs w:val="20"/>
                <w:color w:val="auto"/>
              </w:rPr>
            </w:pPr>
            <w:r>
              <w:rPr>
                <w:rFonts w:ascii="Times New Roman" w:cs="Times New Roman" w:eastAsia="Times New Roman" w:hAnsi="Times New Roman"/>
                <w:sz w:val="24"/>
                <w:szCs w:val="24"/>
                <w:b w:val="1"/>
                <w:bCs w:val="1"/>
                <w:color w:val="auto"/>
              </w:rPr>
              <w:t>Adopted Budget</w:t>
            </w:r>
          </w:p>
        </w:tc>
        <w:tc>
          <w:tcPr>
            <w:tcW w:w="2020" w:type="dxa"/>
            <w:vAlign w:val="bottom"/>
            <w:tcBorders>
              <w:right w:val="single" w:sz="8" w:color="808080"/>
            </w:tcBorders>
          </w:tcPr>
          <w:p>
            <w:pPr>
              <w:ind w:left="20"/>
              <w:spacing w:after="0"/>
              <w:rPr>
                <w:sz w:val="20"/>
                <w:szCs w:val="20"/>
                <w:color w:val="auto"/>
              </w:rPr>
            </w:pPr>
            <w:r>
              <w:rPr>
                <w:rFonts w:ascii="Times New Roman" w:cs="Times New Roman" w:eastAsia="Times New Roman" w:hAnsi="Times New Roman"/>
                <w:sz w:val="24"/>
                <w:szCs w:val="24"/>
                <w:b w:val="1"/>
                <w:bCs w:val="1"/>
                <w:color w:val="auto"/>
              </w:rPr>
              <w:t>Amendment</w:t>
            </w:r>
          </w:p>
        </w:tc>
        <w:tc>
          <w:tcPr>
            <w:tcW w:w="2020" w:type="dxa"/>
            <w:vAlign w:val="bottom"/>
            <w:tcBorders>
              <w:right w:val="single" w:sz="8" w:color="2C2C2C"/>
            </w:tcBorders>
          </w:tcPr>
          <w:p>
            <w:pPr>
              <w:spacing w:after="0"/>
              <w:rPr>
                <w:sz w:val="20"/>
                <w:szCs w:val="20"/>
                <w:color w:val="auto"/>
              </w:rPr>
            </w:pPr>
            <w:r>
              <w:rPr>
                <w:rFonts w:ascii="Times New Roman" w:cs="Times New Roman" w:eastAsia="Times New Roman" w:hAnsi="Times New Roman"/>
                <w:sz w:val="24"/>
                <w:szCs w:val="24"/>
                <w:b w:val="1"/>
                <w:bCs w:val="1"/>
                <w:color w:val="auto"/>
              </w:rPr>
              <w:t>Amendment</w:t>
            </w:r>
          </w:p>
        </w:tc>
        <w:tc>
          <w:tcPr>
            <w:tcW w:w="0" w:type="dxa"/>
            <w:vAlign w:val="bottom"/>
          </w:tcPr>
          <w:p>
            <w:pPr>
              <w:spacing w:after="0"/>
              <w:rPr>
                <w:sz w:val="1"/>
                <w:szCs w:val="1"/>
                <w:color w:val="auto"/>
              </w:rPr>
            </w:pPr>
          </w:p>
        </w:tc>
      </w:tr>
      <w:tr>
        <w:trPr>
          <w:trHeight w:val="318"/>
        </w:trPr>
        <w:tc>
          <w:tcPr>
            <w:tcW w:w="2040" w:type="dxa"/>
            <w:vAlign w:val="bottom"/>
            <w:tcBorders>
              <w:left w:val="single" w:sz="8" w:color="2C2C2C"/>
              <w:bottom w:val="single" w:sz="8" w:color="808080"/>
              <w:right w:val="single" w:sz="8" w:color="808080"/>
            </w:tcBorders>
          </w:tcPr>
          <w:p>
            <w:pPr>
              <w:spacing w:after="0"/>
              <w:rPr>
                <w:sz w:val="24"/>
                <w:szCs w:val="24"/>
                <w:color w:val="auto"/>
              </w:rPr>
            </w:pPr>
          </w:p>
        </w:tc>
        <w:tc>
          <w:tcPr>
            <w:tcW w:w="1960" w:type="dxa"/>
            <w:vAlign w:val="bottom"/>
            <w:tcBorders>
              <w:bottom w:val="single" w:sz="8" w:color="808080"/>
              <w:right w:val="single" w:sz="8" w:color="808080"/>
            </w:tcBorders>
          </w:tcPr>
          <w:p>
            <w:pPr>
              <w:spacing w:after="0"/>
              <w:rPr>
                <w:sz w:val="24"/>
                <w:szCs w:val="24"/>
                <w:color w:val="auto"/>
              </w:rPr>
            </w:pPr>
          </w:p>
        </w:tc>
        <w:tc>
          <w:tcPr>
            <w:tcW w:w="2000" w:type="dxa"/>
            <w:vAlign w:val="bottom"/>
            <w:tcBorders>
              <w:bottom w:val="single" w:sz="8" w:color="808080"/>
              <w:right w:val="single" w:sz="8" w:color="808080"/>
            </w:tcBorders>
          </w:tcPr>
          <w:p>
            <w:pPr>
              <w:spacing w:after="0"/>
              <w:rPr>
                <w:sz w:val="24"/>
                <w:szCs w:val="24"/>
                <w:color w:val="auto"/>
              </w:rPr>
            </w:pPr>
          </w:p>
        </w:tc>
        <w:tc>
          <w:tcPr>
            <w:tcW w:w="2020" w:type="dxa"/>
            <w:vAlign w:val="bottom"/>
            <w:tcBorders>
              <w:bottom w:val="single" w:sz="8" w:color="808080"/>
              <w:right w:val="single" w:sz="8" w:color="808080"/>
            </w:tcBorders>
          </w:tcPr>
          <w:p>
            <w:pPr>
              <w:ind w:left="20"/>
              <w:spacing w:after="0"/>
              <w:rPr>
                <w:sz w:val="20"/>
                <w:szCs w:val="20"/>
                <w:color w:val="auto"/>
              </w:rPr>
            </w:pPr>
            <w:r>
              <w:rPr>
                <w:rFonts w:ascii="Times New Roman" w:cs="Times New Roman" w:eastAsia="Times New Roman" w:hAnsi="Times New Roman"/>
                <w:sz w:val="24"/>
                <w:szCs w:val="24"/>
                <w:b w:val="1"/>
                <w:bCs w:val="1"/>
                <w:color w:val="auto"/>
              </w:rPr>
              <w:t>(Expense)</w:t>
            </w:r>
          </w:p>
        </w:tc>
        <w:tc>
          <w:tcPr>
            <w:tcW w:w="2020" w:type="dxa"/>
            <w:vAlign w:val="bottom"/>
            <w:tcBorders>
              <w:bottom w:val="single" w:sz="8" w:color="808080"/>
              <w:right w:val="single" w:sz="8" w:color="2C2C2C"/>
            </w:tcBorders>
          </w:tcPr>
          <w:p>
            <w:pPr>
              <w:spacing w:after="0"/>
              <w:rPr>
                <w:sz w:val="20"/>
                <w:szCs w:val="20"/>
                <w:color w:val="auto"/>
              </w:rPr>
            </w:pPr>
            <w:r>
              <w:rPr>
                <w:rFonts w:ascii="Times New Roman" w:cs="Times New Roman" w:eastAsia="Times New Roman" w:hAnsi="Times New Roman"/>
                <w:sz w:val="24"/>
                <w:szCs w:val="24"/>
                <w:b w:val="1"/>
                <w:bCs w:val="1"/>
                <w:color w:val="auto"/>
              </w:rPr>
              <w:t>(Revenue)</w:t>
            </w:r>
          </w:p>
        </w:tc>
        <w:tc>
          <w:tcPr>
            <w:tcW w:w="0" w:type="dxa"/>
            <w:vAlign w:val="bottom"/>
          </w:tcPr>
          <w:p>
            <w:pPr>
              <w:spacing w:after="0"/>
              <w:rPr>
                <w:sz w:val="1"/>
                <w:szCs w:val="1"/>
                <w:color w:val="auto"/>
              </w:rPr>
            </w:pPr>
          </w:p>
        </w:tc>
      </w:tr>
      <w:tr>
        <w:trPr>
          <w:trHeight w:val="256"/>
        </w:trPr>
        <w:tc>
          <w:tcPr>
            <w:tcW w:w="2040" w:type="dxa"/>
            <w:vAlign w:val="bottom"/>
            <w:tcBorders>
              <w:left w:val="single" w:sz="8" w:color="2C2C2C"/>
              <w:right w:val="single" w:sz="8" w:color="808080"/>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Capital Projects</w:t>
            </w:r>
          </w:p>
        </w:tc>
        <w:tc>
          <w:tcPr>
            <w:tcW w:w="1960" w:type="dxa"/>
            <w:vAlign w:val="bottom"/>
            <w:tcBorders>
              <w:right w:val="single" w:sz="8" w:color="808080"/>
            </w:tcBorders>
            <w:vMerge w:val="restart"/>
          </w:tcPr>
          <w:p>
            <w:pPr>
              <w:spacing w:after="0"/>
              <w:rPr>
                <w:sz w:val="20"/>
                <w:szCs w:val="20"/>
                <w:color w:val="auto"/>
              </w:rPr>
            </w:pPr>
            <w:r>
              <w:rPr>
                <w:rFonts w:ascii="Times New Roman" w:cs="Times New Roman" w:eastAsia="Times New Roman" w:hAnsi="Times New Roman"/>
                <w:sz w:val="24"/>
                <w:szCs w:val="24"/>
                <w:color w:val="auto"/>
              </w:rPr>
              <w:t>$344,255.50</w:t>
            </w:r>
          </w:p>
        </w:tc>
        <w:tc>
          <w:tcPr>
            <w:tcW w:w="2000" w:type="dxa"/>
            <w:vAlign w:val="bottom"/>
            <w:tcBorders>
              <w:right w:val="single" w:sz="8" w:color="808080"/>
            </w:tcBorders>
            <w:vMerge w:val="restart"/>
          </w:tcPr>
          <w:p>
            <w:pPr>
              <w:spacing w:after="0"/>
              <w:rPr>
                <w:sz w:val="20"/>
                <w:szCs w:val="20"/>
                <w:color w:val="auto"/>
              </w:rPr>
            </w:pPr>
            <w:r>
              <w:rPr>
                <w:rFonts w:ascii="Times New Roman" w:cs="Times New Roman" w:eastAsia="Times New Roman" w:hAnsi="Times New Roman"/>
                <w:sz w:val="24"/>
                <w:szCs w:val="24"/>
                <w:color w:val="auto"/>
              </w:rPr>
              <w:t>0</w:t>
            </w:r>
          </w:p>
        </w:tc>
        <w:tc>
          <w:tcPr>
            <w:tcW w:w="2020" w:type="dxa"/>
            <w:vAlign w:val="bottom"/>
            <w:tcBorders>
              <w:right w:val="single" w:sz="8" w:color="808080"/>
            </w:tcBorders>
            <w:vMerge w:val="restart"/>
          </w:tcPr>
          <w:p>
            <w:pPr>
              <w:ind w:left="20"/>
              <w:spacing w:after="0"/>
              <w:rPr>
                <w:sz w:val="20"/>
                <w:szCs w:val="20"/>
                <w:color w:val="auto"/>
              </w:rPr>
            </w:pPr>
            <w:r>
              <w:rPr>
                <w:rFonts w:ascii="Times New Roman" w:cs="Times New Roman" w:eastAsia="Times New Roman" w:hAnsi="Times New Roman"/>
                <w:sz w:val="24"/>
                <w:szCs w:val="24"/>
                <w:color w:val="auto"/>
              </w:rPr>
              <w:t>$344,255.50</w:t>
            </w:r>
          </w:p>
        </w:tc>
        <w:tc>
          <w:tcPr>
            <w:tcW w:w="2020" w:type="dxa"/>
            <w:vAlign w:val="bottom"/>
            <w:tcBorders>
              <w:right w:val="single" w:sz="8" w:color="2C2C2C"/>
            </w:tcBorders>
            <w:vMerge w:val="restart"/>
          </w:tcPr>
          <w:p>
            <w:pPr>
              <w:spacing w:after="0"/>
              <w:rPr>
                <w:sz w:val="20"/>
                <w:szCs w:val="20"/>
                <w:color w:val="auto"/>
              </w:rPr>
            </w:pPr>
            <w:r>
              <w:rPr>
                <w:rFonts w:ascii="Times New Roman" w:cs="Times New Roman" w:eastAsia="Times New Roman" w:hAnsi="Times New Roman"/>
                <w:sz w:val="24"/>
                <w:szCs w:val="24"/>
                <w:color w:val="auto"/>
              </w:rPr>
              <w:t>$344,255.50</w:t>
            </w:r>
          </w:p>
        </w:tc>
        <w:tc>
          <w:tcPr>
            <w:tcW w:w="0" w:type="dxa"/>
            <w:vAlign w:val="bottom"/>
          </w:tcPr>
          <w:p>
            <w:pPr>
              <w:spacing w:after="0"/>
              <w:rPr>
                <w:sz w:val="1"/>
                <w:szCs w:val="1"/>
                <w:color w:val="auto"/>
              </w:rPr>
            </w:pPr>
          </w:p>
        </w:tc>
      </w:tr>
      <w:tr>
        <w:trPr>
          <w:trHeight w:val="168"/>
        </w:trPr>
        <w:tc>
          <w:tcPr>
            <w:tcW w:w="2040" w:type="dxa"/>
            <w:vAlign w:val="bottom"/>
            <w:tcBorders>
              <w:left w:val="single" w:sz="8" w:color="2C2C2C"/>
              <w:right w:val="single" w:sz="8" w:color="808080"/>
            </w:tcBorders>
            <w:vMerge w:val="restart"/>
          </w:tcPr>
          <w:p>
            <w:pPr>
              <w:ind w:left="20"/>
              <w:spacing w:after="0"/>
              <w:rPr>
                <w:sz w:val="20"/>
                <w:szCs w:val="20"/>
                <w:color w:val="auto"/>
              </w:rPr>
            </w:pPr>
            <w:r>
              <w:rPr>
                <w:rFonts w:ascii="Times New Roman" w:cs="Times New Roman" w:eastAsia="Times New Roman" w:hAnsi="Times New Roman"/>
                <w:sz w:val="24"/>
                <w:szCs w:val="24"/>
                <w:color w:val="auto"/>
              </w:rPr>
              <w:t>Fund</w:t>
            </w:r>
          </w:p>
        </w:tc>
        <w:tc>
          <w:tcPr>
            <w:tcW w:w="1960" w:type="dxa"/>
            <w:vAlign w:val="bottom"/>
            <w:tcBorders>
              <w:right w:val="single" w:sz="8" w:color="808080"/>
            </w:tcBorders>
            <w:vMerge w:val="continue"/>
          </w:tcPr>
          <w:p>
            <w:pPr>
              <w:spacing w:after="0"/>
              <w:rPr>
                <w:sz w:val="14"/>
                <w:szCs w:val="14"/>
                <w:color w:val="auto"/>
              </w:rPr>
            </w:pPr>
          </w:p>
        </w:tc>
        <w:tc>
          <w:tcPr>
            <w:tcW w:w="2000" w:type="dxa"/>
            <w:vAlign w:val="bottom"/>
            <w:tcBorders>
              <w:right w:val="single" w:sz="8" w:color="808080"/>
            </w:tcBorders>
            <w:vMerge w:val="continue"/>
          </w:tcPr>
          <w:p>
            <w:pPr>
              <w:spacing w:after="0"/>
              <w:rPr>
                <w:sz w:val="14"/>
                <w:szCs w:val="14"/>
                <w:color w:val="auto"/>
              </w:rPr>
            </w:pPr>
          </w:p>
        </w:tc>
        <w:tc>
          <w:tcPr>
            <w:tcW w:w="2020" w:type="dxa"/>
            <w:vAlign w:val="bottom"/>
            <w:tcBorders>
              <w:right w:val="single" w:sz="8" w:color="808080"/>
            </w:tcBorders>
            <w:vMerge w:val="continue"/>
          </w:tcPr>
          <w:p>
            <w:pPr>
              <w:spacing w:after="0"/>
              <w:rPr>
                <w:sz w:val="14"/>
                <w:szCs w:val="14"/>
                <w:color w:val="auto"/>
              </w:rPr>
            </w:pPr>
          </w:p>
        </w:tc>
        <w:tc>
          <w:tcPr>
            <w:tcW w:w="2020" w:type="dxa"/>
            <w:vAlign w:val="bottom"/>
            <w:tcBorders>
              <w:right w:val="single" w:sz="8" w:color="2C2C2C"/>
            </w:tcBorders>
            <w:vMerge w:val="continue"/>
          </w:tcPr>
          <w:p>
            <w:pPr>
              <w:spacing w:after="0"/>
              <w:rPr>
                <w:sz w:val="14"/>
                <w:szCs w:val="14"/>
                <w:color w:val="auto"/>
              </w:rPr>
            </w:pPr>
          </w:p>
        </w:tc>
        <w:tc>
          <w:tcPr>
            <w:tcW w:w="0" w:type="dxa"/>
            <w:vAlign w:val="bottom"/>
          </w:tcPr>
          <w:p>
            <w:pPr>
              <w:spacing w:after="0"/>
              <w:rPr>
                <w:sz w:val="1"/>
                <w:szCs w:val="1"/>
                <w:color w:val="auto"/>
              </w:rPr>
            </w:pPr>
          </w:p>
        </w:tc>
      </w:tr>
      <w:tr>
        <w:trPr>
          <w:trHeight w:val="144"/>
        </w:trPr>
        <w:tc>
          <w:tcPr>
            <w:tcW w:w="2040" w:type="dxa"/>
            <w:vAlign w:val="bottom"/>
            <w:tcBorders>
              <w:left w:val="single" w:sz="8" w:color="2C2C2C"/>
              <w:bottom w:val="single" w:sz="8" w:color="808080"/>
              <w:right w:val="single" w:sz="8" w:color="808080"/>
            </w:tcBorders>
            <w:vMerge w:val="continue"/>
          </w:tcPr>
          <w:p>
            <w:pPr>
              <w:spacing w:after="0"/>
              <w:rPr>
                <w:sz w:val="12"/>
                <w:szCs w:val="12"/>
                <w:color w:val="auto"/>
              </w:rPr>
            </w:pPr>
          </w:p>
        </w:tc>
        <w:tc>
          <w:tcPr>
            <w:tcW w:w="1960" w:type="dxa"/>
            <w:vAlign w:val="bottom"/>
            <w:tcBorders>
              <w:bottom w:val="single" w:sz="8" w:color="808080"/>
              <w:right w:val="single" w:sz="8" w:color="808080"/>
            </w:tcBorders>
          </w:tcPr>
          <w:p>
            <w:pPr>
              <w:spacing w:after="0"/>
              <w:rPr>
                <w:sz w:val="12"/>
                <w:szCs w:val="12"/>
                <w:color w:val="auto"/>
              </w:rPr>
            </w:pPr>
          </w:p>
        </w:tc>
        <w:tc>
          <w:tcPr>
            <w:tcW w:w="2000" w:type="dxa"/>
            <w:vAlign w:val="bottom"/>
            <w:tcBorders>
              <w:bottom w:val="single" w:sz="8" w:color="808080"/>
              <w:right w:val="single" w:sz="8" w:color="808080"/>
            </w:tcBorders>
          </w:tcPr>
          <w:p>
            <w:pPr>
              <w:spacing w:after="0"/>
              <w:rPr>
                <w:sz w:val="12"/>
                <w:szCs w:val="12"/>
                <w:color w:val="auto"/>
              </w:rPr>
            </w:pPr>
          </w:p>
        </w:tc>
        <w:tc>
          <w:tcPr>
            <w:tcW w:w="2020" w:type="dxa"/>
            <w:vAlign w:val="bottom"/>
            <w:tcBorders>
              <w:bottom w:val="single" w:sz="8" w:color="808080"/>
              <w:right w:val="single" w:sz="8" w:color="808080"/>
            </w:tcBorders>
          </w:tcPr>
          <w:p>
            <w:pPr>
              <w:spacing w:after="0"/>
              <w:rPr>
                <w:sz w:val="12"/>
                <w:szCs w:val="12"/>
                <w:color w:val="auto"/>
              </w:rPr>
            </w:pPr>
          </w:p>
        </w:tc>
        <w:tc>
          <w:tcPr>
            <w:tcW w:w="2020" w:type="dxa"/>
            <w:vAlign w:val="bottom"/>
            <w:tcBorders>
              <w:bottom w:val="single" w:sz="8" w:color="808080"/>
              <w:right w:val="single" w:sz="8" w:color="2C2C2C"/>
            </w:tcBorders>
          </w:tcPr>
          <w:p>
            <w:pPr>
              <w:spacing w:after="0"/>
              <w:rPr>
                <w:sz w:val="12"/>
                <w:szCs w:val="12"/>
                <w:color w:val="auto"/>
              </w:rPr>
            </w:pPr>
          </w:p>
        </w:tc>
        <w:tc>
          <w:tcPr>
            <w:tcW w:w="0" w:type="dxa"/>
            <w:vAlign w:val="bottom"/>
          </w:tcPr>
          <w:p>
            <w:pPr>
              <w:spacing w:after="0"/>
              <w:rPr>
                <w:sz w:val="1"/>
                <w:szCs w:val="1"/>
                <w:color w:val="auto"/>
              </w:rPr>
            </w:pPr>
          </w:p>
        </w:tc>
      </w:tr>
      <w:tr>
        <w:trPr>
          <w:trHeight w:val="292"/>
        </w:trPr>
        <w:tc>
          <w:tcPr>
            <w:tcW w:w="2040" w:type="dxa"/>
            <w:vAlign w:val="bottom"/>
            <w:tcBorders>
              <w:left w:val="single" w:sz="8" w:color="2C2C2C"/>
              <w:bottom w:val="single" w:sz="8" w:color="2C2C2C"/>
              <w:right w:val="single" w:sz="8" w:color="808080"/>
            </w:tcBorders>
          </w:tcPr>
          <w:p>
            <w:pPr>
              <w:ind w:left="20"/>
              <w:spacing w:after="0"/>
              <w:rPr>
                <w:sz w:val="20"/>
                <w:szCs w:val="20"/>
                <w:color w:val="auto"/>
              </w:rPr>
            </w:pPr>
            <w:r>
              <w:rPr>
                <w:rFonts w:ascii="Times New Roman" w:cs="Times New Roman" w:eastAsia="Times New Roman" w:hAnsi="Times New Roman"/>
                <w:sz w:val="24"/>
                <w:szCs w:val="24"/>
                <w:b w:val="1"/>
                <w:bCs w:val="1"/>
                <w:color w:val="auto"/>
              </w:rPr>
              <w:t>Total</w:t>
            </w:r>
          </w:p>
        </w:tc>
        <w:tc>
          <w:tcPr>
            <w:tcW w:w="1960" w:type="dxa"/>
            <w:vAlign w:val="bottom"/>
            <w:tcBorders>
              <w:bottom w:val="single" w:sz="8" w:color="2C2C2C"/>
              <w:right w:val="single" w:sz="8" w:color="808080"/>
            </w:tcBorders>
          </w:tcPr>
          <w:p>
            <w:pPr>
              <w:spacing w:after="0"/>
              <w:rPr>
                <w:sz w:val="20"/>
                <w:szCs w:val="20"/>
                <w:color w:val="auto"/>
              </w:rPr>
            </w:pPr>
            <w:r>
              <w:rPr>
                <w:rFonts w:ascii="Times New Roman" w:cs="Times New Roman" w:eastAsia="Times New Roman" w:hAnsi="Times New Roman"/>
                <w:sz w:val="24"/>
                <w:szCs w:val="24"/>
                <w:b w:val="1"/>
                <w:bCs w:val="1"/>
                <w:color w:val="auto"/>
              </w:rPr>
              <w:t>$344,255.50</w:t>
            </w:r>
          </w:p>
        </w:tc>
        <w:tc>
          <w:tcPr>
            <w:tcW w:w="2000" w:type="dxa"/>
            <w:vAlign w:val="bottom"/>
            <w:tcBorders>
              <w:bottom w:val="single" w:sz="8" w:color="2C2C2C"/>
              <w:right w:val="single" w:sz="8" w:color="808080"/>
            </w:tcBorders>
          </w:tcPr>
          <w:p>
            <w:pPr>
              <w:spacing w:after="0"/>
              <w:rPr>
                <w:sz w:val="20"/>
                <w:szCs w:val="20"/>
                <w:color w:val="auto"/>
              </w:rPr>
            </w:pPr>
            <w:r>
              <w:rPr>
                <w:rFonts w:ascii="Times New Roman" w:cs="Times New Roman" w:eastAsia="Times New Roman" w:hAnsi="Times New Roman"/>
                <w:sz w:val="24"/>
                <w:szCs w:val="24"/>
                <w:b w:val="1"/>
                <w:bCs w:val="1"/>
                <w:color w:val="auto"/>
              </w:rPr>
              <w:t>0</w:t>
            </w:r>
          </w:p>
        </w:tc>
        <w:tc>
          <w:tcPr>
            <w:tcW w:w="2020" w:type="dxa"/>
            <w:vAlign w:val="bottom"/>
            <w:tcBorders>
              <w:bottom w:val="single" w:sz="8" w:color="2C2C2C"/>
              <w:right w:val="single" w:sz="8" w:color="808080"/>
            </w:tcBorders>
          </w:tcPr>
          <w:p>
            <w:pPr>
              <w:ind w:left="20"/>
              <w:spacing w:after="0"/>
              <w:rPr>
                <w:sz w:val="20"/>
                <w:szCs w:val="20"/>
                <w:color w:val="auto"/>
              </w:rPr>
            </w:pPr>
            <w:r>
              <w:rPr>
                <w:rFonts w:ascii="Times New Roman" w:cs="Times New Roman" w:eastAsia="Times New Roman" w:hAnsi="Times New Roman"/>
                <w:sz w:val="24"/>
                <w:szCs w:val="24"/>
                <w:b w:val="1"/>
                <w:bCs w:val="1"/>
                <w:color w:val="auto"/>
              </w:rPr>
              <w:t>$344,255.50</w:t>
            </w:r>
          </w:p>
        </w:tc>
        <w:tc>
          <w:tcPr>
            <w:tcW w:w="2020" w:type="dxa"/>
            <w:vAlign w:val="bottom"/>
            <w:tcBorders>
              <w:bottom w:val="single" w:sz="8" w:color="2C2C2C"/>
              <w:right w:val="single" w:sz="8" w:color="2C2C2C"/>
            </w:tcBorders>
          </w:tcPr>
          <w:p>
            <w:pPr>
              <w:spacing w:after="0"/>
              <w:rPr>
                <w:sz w:val="20"/>
                <w:szCs w:val="20"/>
                <w:color w:val="auto"/>
              </w:rPr>
            </w:pPr>
            <w:r>
              <w:rPr>
                <w:rFonts w:ascii="Times New Roman" w:cs="Times New Roman" w:eastAsia="Times New Roman" w:hAnsi="Times New Roman"/>
                <w:sz w:val="24"/>
                <w:szCs w:val="24"/>
                <w:color w:val="auto"/>
              </w:rPr>
              <w:t>$344.255.50</w:t>
            </w:r>
          </w:p>
        </w:tc>
        <w:tc>
          <w:tcPr>
            <w:tcW w:w="0" w:type="dxa"/>
            <w:vAlign w:val="bottom"/>
          </w:tcPr>
          <w:p>
            <w:pPr>
              <w:spacing w:after="0"/>
              <w:rPr>
                <w:sz w:val="1"/>
                <w:szCs w:val="1"/>
                <w:color w:val="auto"/>
              </w:rPr>
            </w:pPr>
          </w:p>
        </w:tc>
      </w:tr>
    </w:tbl>
    <w:p>
      <w:pPr>
        <w:spacing w:after="0" w:line="200" w:lineRule="exact"/>
        <w:rPr>
          <w:sz w:val="20"/>
          <w:szCs w:val="20"/>
          <w:color w:val="auto"/>
        </w:rPr>
      </w:pPr>
    </w:p>
    <w:p>
      <w:pPr>
        <w:spacing w:after="0" w:line="32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Capital Projects Fund</w:t>
      </w:r>
    </w:p>
    <w:p>
      <w:pPr>
        <w:spacing w:after="0" w:line="28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Beginning Estimated Fund Balance $0</w:t>
      </w:r>
    </w:p>
    <w:p>
      <w:pPr>
        <w:spacing w:after="0" w:line="276"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Plus: Budget Amendment (Revenue) +$344,255.50</w:t>
      </w:r>
    </w:p>
    <w:p>
      <w:pPr>
        <w:spacing w:after="0" w:line="276"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Less: Budget Amendment (Expense) -$344,255.50</w:t>
      </w:r>
    </w:p>
    <w:p>
      <w:pPr>
        <w:spacing w:after="0" w:line="276"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Estimated Ending Fund Balance $0</w:t>
      </w:r>
    </w:p>
    <w:p>
      <w:pPr>
        <w:spacing w:after="0" w:line="276" w:lineRule="exact"/>
        <w:rPr>
          <w:sz w:val="20"/>
          <w:szCs w:val="20"/>
          <w:color w:val="auto"/>
        </w:rPr>
      </w:pPr>
    </w:p>
    <w:p>
      <w:pPr>
        <w:ind w:right="140"/>
        <w:spacing w:after="0" w:line="255" w:lineRule="auto"/>
        <w:rPr>
          <w:sz w:val="20"/>
          <w:szCs w:val="20"/>
          <w:color w:val="auto"/>
        </w:rPr>
      </w:pPr>
      <w:r>
        <w:rPr>
          <w:rFonts w:ascii="Times New Roman" w:cs="Times New Roman" w:eastAsia="Times New Roman" w:hAnsi="Times New Roman"/>
          <w:sz w:val="24"/>
          <w:szCs w:val="24"/>
          <w:color w:val="auto"/>
        </w:rPr>
        <w:t>The budget amendment increases both revenues and expenditures by $344,255.50, resulting in no net impact to the ending fund balance. The additional revenue is anticipated from the Windsor Historical Society through a Funding Agreement in the amount not-to- exceed $344,255.50 and will be recognized</w:t>
      </w:r>
    </w:p>
    <w:p>
      <w:pPr>
        <w:sectPr>
          <w:pgSz w:w="12240" w:h="15840" w:orient="portrait"/>
          <w:cols w:equalWidth="0" w:num="1">
            <w:col w:w="10140"/>
          </w:cols>
          <w:pgMar w:left="1080" w:top="835" w:right="1020" w:bottom="368" w:gutter="0" w:footer="0" w:header="0"/>
        </w:sectPr>
      </w:pPr>
    </w:p>
    <w:p>
      <w:pPr>
        <w:spacing w:after="0" w:line="104" w:lineRule="exact"/>
        <w:rPr>
          <w:sz w:val="20"/>
          <w:szCs w:val="20"/>
          <w:color w:val="auto"/>
        </w:rPr>
      </w:pPr>
    </w:p>
    <w:p>
      <w:pPr>
        <w:ind w:left="10020"/>
        <w:spacing w:after="0"/>
        <w:rPr>
          <w:sz w:val="20"/>
          <w:szCs w:val="20"/>
          <w:color w:val="auto"/>
        </w:rPr>
      </w:pPr>
      <w:r>
        <w:rPr>
          <w:rFonts w:ascii="Times New Roman" w:cs="Times New Roman" w:eastAsia="Times New Roman" w:hAnsi="Times New Roman"/>
          <w:sz w:val="24"/>
          <w:szCs w:val="24"/>
          <w:color w:val="auto"/>
        </w:rPr>
        <w:t>3</w:t>
      </w:r>
    </w:p>
    <w:p>
      <w:pPr>
        <w:sectPr>
          <w:pgSz w:w="12240" w:h="15840" w:orient="portrait"/>
          <w:cols w:equalWidth="0" w:num="1">
            <w:col w:w="10140"/>
          </w:cols>
          <w:pgMar w:left="1080" w:top="835" w:right="1020" w:bottom="368" w:gutter="0" w:footer="0" w:header="0"/>
          <w:type w:val="continuous"/>
        </w:sectPr>
      </w:pPr>
    </w:p>
    <w:p>
      <w:pPr>
        <w:ind w:right="380"/>
        <w:spacing w:after="0" w:line="255" w:lineRule="auto"/>
        <w:rPr>
          <w:sz w:val="20"/>
          <w:szCs w:val="20"/>
          <w:color w:val="auto"/>
        </w:rPr>
      </w:pPr>
      <w:r>
        <w:rPr>
          <w:rFonts w:ascii="Times New Roman" w:cs="Times New Roman" w:eastAsia="Times New Roman" w:hAnsi="Times New Roman"/>
          <w:sz w:val="24"/>
          <w:szCs w:val="24"/>
          <w:color w:val="auto"/>
        </w:rPr>
        <w:t>in accordance with standard accounting matching principles. There will be no General Fund monies used for this project. Fiscal impact for the Town will come from staff time for contract administration and occasional site visits.</w:t>
      </w:r>
    </w:p>
    <w:p>
      <w:pPr>
        <w:spacing w:after="0" w:line="200" w:lineRule="exact"/>
        <w:rPr>
          <w:sz w:val="20"/>
          <w:szCs w:val="20"/>
          <w:color w:val="auto"/>
        </w:rPr>
      </w:pPr>
    </w:p>
    <w:p>
      <w:pPr>
        <w:spacing w:after="0" w:line="25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Environmental Review:</w:t>
      </w:r>
    </w:p>
    <w:p>
      <w:pPr>
        <w:spacing w:after="0" w:line="32" w:lineRule="exact"/>
        <w:rPr>
          <w:sz w:val="20"/>
          <w:szCs w:val="20"/>
          <w:color w:val="auto"/>
        </w:rPr>
      </w:pPr>
    </w:p>
    <w:p>
      <w:pPr>
        <w:ind w:right="360"/>
        <w:spacing w:after="0" w:line="269" w:lineRule="auto"/>
        <w:rPr>
          <w:sz w:val="20"/>
          <w:szCs w:val="20"/>
          <w:color w:val="auto"/>
        </w:rPr>
      </w:pPr>
      <w:r>
        <w:rPr>
          <w:rFonts w:ascii="Times New Roman" w:cs="Times New Roman" w:eastAsia="Times New Roman" w:hAnsi="Times New Roman"/>
          <w:sz w:val="23"/>
          <w:szCs w:val="23"/>
          <w:color w:val="auto"/>
        </w:rPr>
        <w:t>The project is exempt from the California Environmental Quality Act (CEQA) in accordance with section 15301 because it consists of replacement or reconstruction of existing structures and facilities.</w:t>
      </w:r>
    </w:p>
    <w:p>
      <w:pPr>
        <w:spacing w:after="0" w:line="203"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Attachment(s):</w:t>
      </w:r>
    </w:p>
    <w:p>
      <w:pPr>
        <w:spacing w:after="0" w:line="32" w:lineRule="exact"/>
        <w:rPr>
          <w:sz w:val="20"/>
          <w:szCs w:val="20"/>
          <w:color w:val="auto"/>
        </w:rPr>
      </w:pPr>
    </w:p>
    <w:p>
      <w:pPr>
        <w:ind w:left="240" w:hanging="240"/>
        <w:spacing w:after="0"/>
        <w:tabs>
          <w:tab w:leader="none" w:pos="240" w:val="left"/>
        </w:tabs>
        <w:numPr>
          <w:ilvl w:val="0"/>
          <w:numId w:val="2"/>
        </w:numPr>
        <w:rPr>
          <w:rFonts w:ascii="Times New Roman" w:cs="Times New Roman" w:eastAsia="Times New Roman" w:hAnsi="Times New Roman"/>
          <w:sz w:val="24"/>
          <w:szCs w:val="24"/>
          <w:color w:val="0000EE"/>
        </w:rPr>
      </w:pPr>
      <w:hyperlink r:id="rId12">
        <w:r>
          <w:rPr>
            <w:rFonts w:ascii="Times New Roman" w:cs="Times New Roman" w:eastAsia="Times New Roman" w:hAnsi="Times New Roman"/>
            <w:sz w:val="24"/>
            <w:szCs w:val="24"/>
            <w:color w:val="0000EE"/>
          </w:rPr>
          <w:t>Funding Agreement - Windsor Historical Society - Cunningham House Rehabilitation Project</w:t>
        </w:r>
      </w:hyperlink>
    </w:p>
    <w:p>
      <w:pPr>
        <w:ind w:left="240" w:hanging="240"/>
        <w:spacing w:after="0"/>
        <w:tabs>
          <w:tab w:leader="none" w:pos="240" w:val="left"/>
        </w:tabs>
        <w:numPr>
          <w:ilvl w:val="0"/>
          <w:numId w:val="2"/>
        </w:numPr>
        <w:rPr>
          <w:rFonts w:ascii="Times New Roman" w:cs="Times New Roman" w:eastAsia="Times New Roman" w:hAnsi="Times New Roman"/>
          <w:sz w:val="24"/>
          <w:szCs w:val="24"/>
          <w:color w:val="0000EE"/>
        </w:rPr>
      </w:pPr>
      <w:hyperlink r:id="rId13">
        <w:r>
          <w:rPr>
            <w:rFonts w:ascii="Times New Roman" w:cs="Times New Roman" w:eastAsia="Times New Roman" w:hAnsi="Times New Roman"/>
            <w:sz w:val="24"/>
            <w:szCs w:val="24"/>
            <w:color w:val="0000EE"/>
          </w:rPr>
          <w:t>Resolution - Budget Amendment Cunningham House Rehabilitation Project.</w:t>
        </w:r>
      </w:hyperlink>
    </w:p>
    <w:p>
      <w:pPr>
        <w:ind w:left="240" w:hanging="240"/>
        <w:spacing w:after="0"/>
        <w:tabs>
          <w:tab w:leader="none" w:pos="240" w:val="left"/>
        </w:tabs>
        <w:numPr>
          <w:ilvl w:val="0"/>
          <w:numId w:val="2"/>
        </w:numPr>
        <w:rPr>
          <w:rFonts w:ascii="Times New Roman" w:cs="Times New Roman" w:eastAsia="Times New Roman" w:hAnsi="Times New Roman"/>
          <w:sz w:val="24"/>
          <w:szCs w:val="24"/>
          <w:color w:val="0000EE"/>
        </w:rPr>
      </w:pPr>
      <w:hyperlink r:id="rId14">
        <w:r>
          <w:rPr>
            <w:rFonts w:ascii="Times New Roman" w:cs="Times New Roman" w:eastAsia="Times New Roman" w:hAnsi="Times New Roman"/>
            <w:sz w:val="24"/>
            <w:szCs w:val="24"/>
            <w:color w:val="0000EE"/>
          </w:rPr>
          <w:t>Cunningham House Rehabilitation Project - Plans and Specifications</w:t>
        </w:r>
      </w:hyperlink>
    </w:p>
    <w:p>
      <w:pPr>
        <w:ind w:left="240" w:hanging="240"/>
        <w:spacing w:after="0"/>
        <w:tabs>
          <w:tab w:leader="none" w:pos="240" w:val="left"/>
        </w:tabs>
        <w:numPr>
          <w:ilvl w:val="0"/>
          <w:numId w:val="2"/>
        </w:numPr>
        <w:rPr>
          <w:rFonts w:ascii="Times New Roman" w:cs="Times New Roman" w:eastAsia="Times New Roman" w:hAnsi="Times New Roman"/>
          <w:sz w:val="24"/>
          <w:szCs w:val="24"/>
          <w:color w:val="0000EE"/>
        </w:rPr>
      </w:pPr>
      <w:hyperlink r:id="rId15">
        <w:r>
          <w:rPr>
            <w:rFonts w:ascii="Times New Roman" w:cs="Times New Roman" w:eastAsia="Times New Roman" w:hAnsi="Times New Roman"/>
            <w:sz w:val="24"/>
            <w:szCs w:val="24"/>
            <w:color w:val="0000EE"/>
          </w:rPr>
          <w:t>Major Construction Agreement - M3 Integrated Services, Inc.</w:t>
        </w:r>
      </w:hyperlink>
    </w:p>
    <w:p>
      <w:pPr>
        <w:spacing w:after="0" w:line="208" w:lineRule="exact"/>
        <w:rPr>
          <w:rFonts w:ascii="Times New Roman" w:cs="Times New Roman" w:eastAsia="Times New Roman" w:hAnsi="Times New Roman"/>
          <w:sz w:val="24"/>
          <w:szCs w:val="24"/>
          <w:color w:val="0000EE"/>
        </w:rPr>
      </w:pPr>
    </w:p>
    <w:p>
      <w:pPr>
        <w:spacing w:after="0"/>
        <w:tabs>
          <w:tab w:leader="none" w:pos="4980" w:val="left"/>
        </w:tabs>
        <w:rPr>
          <w:sz w:val="20"/>
          <w:szCs w:val="20"/>
          <w:color w:val="auto"/>
        </w:rPr>
      </w:pPr>
      <w:r>
        <w:rPr>
          <w:rFonts w:ascii="Times New Roman" w:cs="Times New Roman" w:eastAsia="Times New Roman" w:hAnsi="Times New Roman"/>
          <w:sz w:val="24"/>
          <w:szCs w:val="24"/>
          <w:b w:val="1"/>
          <w:bCs w:val="1"/>
          <w:color w:val="auto"/>
        </w:rPr>
        <w:t>Prepared by:</w:t>
      </w:r>
      <w:r>
        <w:rPr>
          <w:sz w:val="20"/>
          <w:szCs w:val="20"/>
          <w:color w:val="auto"/>
        </w:rPr>
        <w:tab/>
      </w:r>
      <w:r>
        <w:rPr>
          <w:rFonts w:ascii="Times New Roman" w:cs="Times New Roman" w:eastAsia="Times New Roman" w:hAnsi="Times New Roman"/>
          <w:sz w:val="23"/>
          <w:szCs w:val="23"/>
          <w:b w:val="1"/>
          <w:bCs w:val="1"/>
          <w:color w:val="auto"/>
        </w:rPr>
        <w:t>Reviewed by:</w:t>
      </w:r>
    </w:p>
    <w:p>
      <w:pPr>
        <w:spacing w:after="0" w:line="32" w:lineRule="exact"/>
        <w:rPr>
          <w:rFonts w:ascii="Times New Roman" w:cs="Times New Roman" w:eastAsia="Times New Roman" w:hAnsi="Times New Roman"/>
          <w:sz w:val="24"/>
          <w:szCs w:val="24"/>
          <w:color w:val="0000EE"/>
        </w:rPr>
      </w:pPr>
    </w:p>
    <w:p>
      <w:pPr>
        <w:spacing w:after="0"/>
        <w:tabs>
          <w:tab w:leader="none" w:pos="4980" w:val="left"/>
        </w:tabs>
        <w:rPr>
          <w:sz w:val="20"/>
          <w:szCs w:val="20"/>
          <w:color w:val="auto"/>
        </w:rPr>
      </w:pPr>
      <w:r>
        <w:rPr>
          <w:rFonts w:ascii="Times New Roman" w:cs="Times New Roman" w:eastAsia="Times New Roman" w:hAnsi="Times New Roman"/>
          <w:sz w:val="24"/>
          <w:szCs w:val="24"/>
          <w:color w:val="auto"/>
        </w:rPr>
        <w:t>Denise Alcala</w:t>
      </w:r>
      <w:r>
        <w:rPr>
          <w:sz w:val="20"/>
          <w:szCs w:val="20"/>
          <w:color w:val="auto"/>
        </w:rPr>
        <w:tab/>
      </w:r>
      <w:r>
        <w:rPr>
          <w:rFonts w:ascii="Times New Roman" w:cs="Times New Roman" w:eastAsia="Times New Roman" w:hAnsi="Times New Roman"/>
          <w:sz w:val="23"/>
          <w:szCs w:val="23"/>
          <w:color w:val="auto"/>
        </w:rPr>
        <w:t>Olivia Lemen</w:t>
      </w:r>
    </w:p>
    <w:p>
      <w:pPr>
        <w:spacing w:after="0"/>
        <w:tabs>
          <w:tab w:leader="none" w:pos="4980" w:val="left"/>
        </w:tabs>
        <w:rPr>
          <w:sz w:val="20"/>
          <w:szCs w:val="20"/>
          <w:color w:val="auto"/>
        </w:rPr>
      </w:pPr>
      <w:r>
        <w:rPr>
          <w:rFonts w:ascii="Times New Roman" w:cs="Times New Roman" w:eastAsia="Times New Roman" w:hAnsi="Times New Roman"/>
          <w:sz w:val="24"/>
          <w:szCs w:val="24"/>
          <w:color w:val="auto"/>
        </w:rPr>
        <w:t>Management Analyst</w:t>
      </w:r>
      <w:r>
        <w:rPr>
          <w:sz w:val="20"/>
          <w:szCs w:val="20"/>
          <w:color w:val="auto"/>
        </w:rPr>
        <w:tab/>
      </w:r>
      <w:r>
        <w:rPr>
          <w:rFonts w:ascii="Times New Roman" w:cs="Times New Roman" w:eastAsia="Times New Roman" w:hAnsi="Times New Roman"/>
          <w:sz w:val="24"/>
          <w:szCs w:val="24"/>
          <w:color w:val="auto"/>
        </w:rPr>
        <w:t>Parks and Recreation Director</w:t>
      </w:r>
    </w:p>
    <w:p>
      <w:pPr>
        <w:spacing w:after="0" w:line="250" w:lineRule="exact"/>
        <w:rPr>
          <w:rFonts w:ascii="Times New Roman" w:cs="Times New Roman" w:eastAsia="Times New Roman" w:hAnsi="Times New Roman"/>
          <w:sz w:val="24"/>
          <w:szCs w:val="24"/>
          <w:color w:val="0000EE"/>
        </w:rPr>
      </w:pPr>
    </w:p>
    <w:p>
      <w:pPr>
        <w:ind w:left="5000"/>
        <w:spacing w:after="0"/>
        <w:rPr>
          <w:sz w:val="20"/>
          <w:szCs w:val="20"/>
          <w:color w:val="auto"/>
        </w:rPr>
      </w:pPr>
      <w:r>
        <w:rPr>
          <w:rFonts w:ascii="Times New Roman" w:cs="Times New Roman" w:eastAsia="Times New Roman" w:hAnsi="Times New Roman"/>
          <w:sz w:val="24"/>
          <w:szCs w:val="24"/>
          <w:color w:val="auto"/>
        </w:rPr>
        <w:t>Nick Walker</w:t>
      </w:r>
    </w:p>
    <w:p>
      <w:pPr>
        <w:spacing w:after="0" w:line="26" w:lineRule="exact"/>
        <w:rPr>
          <w:rFonts w:ascii="Times New Roman" w:cs="Times New Roman" w:eastAsia="Times New Roman" w:hAnsi="Times New Roman"/>
          <w:sz w:val="24"/>
          <w:szCs w:val="24"/>
          <w:color w:val="0000EE"/>
        </w:rPr>
      </w:pPr>
    </w:p>
    <w:p>
      <w:pPr>
        <w:ind w:left="5000"/>
        <w:spacing w:after="0"/>
        <w:rPr>
          <w:sz w:val="20"/>
          <w:szCs w:val="20"/>
          <w:color w:val="auto"/>
        </w:rPr>
      </w:pPr>
      <w:r>
        <w:rPr>
          <w:rFonts w:ascii="Times New Roman" w:cs="Times New Roman" w:eastAsia="Times New Roman" w:hAnsi="Times New Roman"/>
          <w:sz w:val="24"/>
          <w:szCs w:val="24"/>
          <w:color w:val="auto"/>
        </w:rPr>
        <w:t>Administrative Services Director</w:t>
      </w:r>
    </w:p>
    <w:p>
      <w:pPr>
        <w:spacing w:after="0" w:line="208" w:lineRule="exact"/>
        <w:rPr>
          <w:rFonts w:ascii="Times New Roman" w:cs="Times New Roman" w:eastAsia="Times New Roman" w:hAnsi="Times New Roman"/>
          <w:sz w:val="24"/>
          <w:szCs w:val="24"/>
          <w:color w:val="0000EE"/>
        </w:rPr>
      </w:pPr>
    </w:p>
    <w:p>
      <w:pPr>
        <w:spacing w:after="0"/>
        <w:rPr>
          <w:sz w:val="20"/>
          <w:szCs w:val="20"/>
          <w:color w:val="auto"/>
        </w:rPr>
      </w:pPr>
      <w:r>
        <w:rPr>
          <w:rFonts w:ascii="Times New Roman" w:cs="Times New Roman" w:eastAsia="Times New Roman" w:hAnsi="Times New Roman"/>
          <w:sz w:val="24"/>
          <w:szCs w:val="24"/>
          <w:b w:val="1"/>
          <w:bCs w:val="1"/>
          <w:color w:val="auto"/>
        </w:rPr>
        <w:t>Approved by:</w:t>
      </w:r>
    </w:p>
    <w:p>
      <w:pPr>
        <w:spacing w:after="0" w:line="32" w:lineRule="exact"/>
        <w:rPr>
          <w:rFonts w:ascii="Times New Roman" w:cs="Times New Roman" w:eastAsia="Times New Roman" w:hAnsi="Times New Roman"/>
          <w:sz w:val="24"/>
          <w:szCs w:val="24"/>
          <w:color w:val="0000EE"/>
        </w:rPr>
      </w:pPr>
    </w:p>
    <w:p>
      <w:pPr>
        <w:spacing w:after="0"/>
        <w:rPr>
          <w:sz w:val="20"/>
          <w:szCs w:val="20"/>
          <w:color w:val="auto"/>
        </w:rPr>
      </w:pPr>
      <w:r>
        <w:rPr>
          <w:rFonts w:ascii="Times New Roman" w:cs="Times New Roman" w:eastAsia="Times New Roman" w:hAnsi="Times New Roman"/>
          <w:sz w:val="24"/>
          <w:szCs w:val="24"/>
          <w:color w:val="auto"/>
        </w:rPr>
        <w:t>Jon Davis</w:t>
      </w:r>
    </w:p>
    <w:p>
      <w:pPr>
        <w:spacing w:after="0"/>
        <w:rPr>
          <w:sz w:val="20"/>
          <w:szCs w:val="20"/>
          <w:color w:val="auto"/>
        </w:rPr>
      </w:pPr>
      <w:r>
        <w:rPr>
          <w:rFonts w:ascii="Times New Roman" w:cs="Times New Roman" w:eastAsia="Times New Roman" w:hAnsi="Times New Roman"/>
          <w:sz w:val="24"/>
          <w:szCs w:val="24"/>
          <w:color w:val="auto"/>
        </w:rPr>
        <w:t>Town Manager</w:t>
      </w:r>
    </w:p>
    <w:p>
      <w:pPr>
        <w:sectPr>
          <w:pgSz w:w="12240" w:h="15840" w:orient="portrait"/>
          <w:cols w:equalWidth="0" w:num="1">
            <w:col w:w="10140"/>
          </w:cols>
          <w:pgMar w:left="1080" w:top="831" w:right="1020" w:bottom="368" w:gutter="0" w:footer="0" w:header="0"/>
        </w:sect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200" w:lineRule="exact"/>
        <w:rPr>
          <w:rFonts w:ascii="Times New Roman" w:cs="Times New Roman" w:eastAsia="Times New Roman" w:hAnsi="Times New Roman"/>
          <w:sz w:val="24"/>
          <w:szCs w:val="24"/>
          <w:color w:val="0000EE"/>
        </w:rPr>
      </w:pPr>
    </w:p>
    <w:p>
      <w:pPr>
        <w:spacing w:after="0" w:line="382" w:lineRule="exact"/>
        <w:rPr>
          <w:rFonts w:ascii="Times New Roman" w:cs="Times New Roman" w:eastAsia="Times New Roman" w:hAnsi="Times New Roman"/>
          <w:sz w:val="24"/>
          <w:szCs w:val="24"/>
          <w:color w:val="0000EE"/>
        </w:rPr>
      </w:pPr>
    </w:p>
    <w:p>
      <w:pPr>
        <w:ind w:left="10020"/>
        <w:spacing w:after="0"/>
        <w:rPr>
          <w:sz w:val="20"/>
          <w:szCs w:val="20"/>
          <w:color w:val="auto"/>
        </w:rPr>
      </w:pPr>
      <w:r>
        <w:rPr>
          <w:rFonts w:ascii="Times New Roman" w:cs="Times New Roman" w:eastAsia="Times New Roman" w:hAnsi="Times New Roman"/>
          <w:sz w:val="24"/>
          <w:szCs w:val="24"/>
          <w:color w:val="auto"/>
        </w:rPr>
        <w:t>4</w:t>
      </w:r>
    </w:p>
    <w:sectPr>
      <w:pgSz w:w="12240" w:h="15840" w:orient="portrait"/>
      <w:cols w:equalWidth="0" w:num="1">
        <w:col w:w="10140"/>
      </w:cols>
      <w:pgMar w:left="1080" w:top="831" w:right="1020" w:bottom="368"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400001FF" w:csb1="FFFF0000"/>
  </w:font>
</w:fonts>
</file>

<file path=word/numbering.xml><?xml version="1.0" encoding="utf-8"?>
<w:numbering xmlns:w="http://schemas.openxmlformats.org/wordprocessingml/2006/main">
  <w:abstractNum w:abstractNumId="0">
    <w:nsid w:val="6952"/>
    <w:multiLevelType w:val="hybridMultilevel"/>
    <w:lvl w:ilvl="0">
      <w:lvlJc w:val="left"/>
      <w:lvlText w:val="%1."/>
      <w:numFmt w:val="decimal"/>
      <w:start w:val="1"/>
    </w:lvl>
  </w:abstractNum>
  <w:abstractNum w:abstractNumId="1">
    <w:nsid w:val="5F90"/>
    <w:multiLevelType w:val="hybridMultilevel"/>
    <w:lvl w:ilvl="0">
      <w:lvlJc w:val="left"/>
      <w:lvlText w:val="%1."/>
      <w:numFmt w:val="decimal"/>
      <w:start w:val="1"/>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hyperlink" Target="https://windsor-ca.granicus.com/services/legistar/download/pdf/4013743/Funding_Agreement_-_Windsor_Historial_Society_-_Cunningham_House_Rehabilitation_Project.pdf" TargetMode="External"/><Relationship Id="rId13" Type="http://schemas.openxmlformats.org/officeDocument/2006/relationships/hyperlink" Target="https://windsor-ca.granicus.com/services/legistar/download/pdf/4013750/Resolution_-_Budget_Amendment_Cunningham_House_Rehabilitaiton_Project.pdf" TargetMode="External"/><Relationship Id="rId14" Type="http://schemas.openxmlformats.org/officeDocument/2006/relationships/hyperlink" Target="https://windsor-ca.granicus.com/services/legistar/download/pdf/4013642/Cunningham_House_Rehabilitation_Project_-_Bid_Document.pdf" TargetMode="External"/><Relationship Id="rId15" Type="http://schemas.openxmlformats.org/officeDocument/2006/relationships/hyperlink" Target="https://windsor-ca.granicus.com/services/legistar/download/pdf/4013644/Major_Construction_Agreement_-_M3_Integrated_Services__Inc..pdf"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2026-04-15T21:22:20Z</dcterms:created>
  <dcterms:modified xsi:type="dcterms:W3CDTF">2026-04-15T21:22:20Z</dcterms:modified>
</cp:coreProperties>
</file>