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p>
      <w:pPr>
        <w:spacing w:after="0" w:line="200" w:lineRule="exact"/>
        <w:rPr>
          <w:sz w:val="24"/>
          <w:szCs w:val="24"/>
          <w:color w:val="auto"/>
        </w:rPr>
      </w:pPr>
      <w:r>
        <w:rPr>
          <w:sz w:val="24"/>
          <w:szCs w:val="24"/>
          <w:color w:val="auto"/>
        </w:rPr>
        <w:drawing>
          <wp:anchor simplePos="0" relativeHeight="251657728" behindDoc="1" locked="0" layoutInCell="0" allowOverlap="1">
            <wp:simplePos x="0" y="0"/>
            <wp:positionH relativeFrom="page">
              <wp:posOffset>3345180</wp:posOffset>
            </wp:positionH>
            <wp:positionV relativeFrom="page">
              <wp:posOffset>542925</wp:posOffset>
            </wp:positionV>
            <wp:extent cx="1043940" cy="10439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clrChange>
                        <a:clrFrom>
                          <a:srgbClr val="FFFFFF"/>
                        </a:clrFrom>
                        <a:clrTo>
                          <a:srgbClr val="FFFFFF">
                            <a:alpha val="0"/>
                          </a:srgbClr>
                        </a:clrTo>
                      </a:clrChange>
                      <a:extLst>
                        <a:ext uri="{28A0092B-C50C-407E-A947-70E740481C1C}"/>
                      </a:extLst>
                    </a:blip>
                    <a:srcRect/>
                    <a:stretch>
                      <a:fillRect/>
                    </a:stretch>
                  </pic:blipFill>
                  <pic:spPr bwMode="auto">
                    <a:xfrm>
                      <a:off x="0" y="0"/>
                      <a:ext cx="1043940" cy="104394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28" w:lineRule="exact"/>
        <w:rPr>
          <w:sz w:val="24"/>
          <w:szCs w:val="24"/>
          <w:color w:val="auto"/>
        </w:rPr>
      </w:pPr>
    </w:p>
    <w:p>
      <w:pPr>
        <w:ind w:left="7900"/>
        <w:spacing w:after="0"/>
        <w:rPr>
          <w:sz w:val="20"/>
          <w:szCs w:val="20"/>
          <w:color w:val="auto"/>
        </w:rPr>
      </w:pPr>
      <w:r>
        <w:rPr>
          <w:rFonts w:ascii="Arial" w:cs="Arial" w:eastAsia="Arial" w:hAnsi="Arial"/>
          <w:sz w:val="23"/>
          <w:szCs w:val="23"/>
          <w:color w:val="auto"/>
        </w:rPr>
        <w:t>Agenda Item No: 1.l</w:t>
      </w:r>
    </w:p>
    <w:p>
      <w:pPr>
        <w:spacing w:after="0" w:line="319" w:lineRule="exact"/>
        <w:rPr>
          <w:sz w:val="24"/>
          <w:szCs w:val="24"/>
          <w:color w:val="auto"/>
        </w:rPr>
      </w:pPr>
    </w:p>
    <w:p>
      <w:pPr>
        <w:spacing w:after="0"/>
        <w:rPr>
          <w:sz w:val="20"/>
          <w:szCs w:val="20"/>
          <w:color w:val="auto"/>
        </w:rPr>
      </w:pPr>
      <w:r>
        <w:rPr>
          <w:rFonts w:ascii="Arial" w:cs="Arial" w:eastAsia="Arial" w:hAnsi="Arial"/>
          <w:sz w:val="28"/>
          <w:szCs w:val="28"/>
          <w:b w:val="1"/>
          <w:bCs w:val="1"/>
          <w:color w:val="auto"/>
        </w:rPr>
        <w:t>PLACENTIA CITY COUNCIL AGENDA REPORT</w:t>
      </w:r>
    </w:p>
    <w:p>
      <w:pPr>
        <w:spacing w:after="0" w:line="68" w:lineRule="exact"/>
        <w:rPr>
          <w:sz w:val="24"/>
          <w:szCs w:val="24"/>
          <w:color w:val="auto"/>
        </w:rPr>
      </w:pPr>
    </w:p>
    <w:p>
      <w:pPr>
        <w:spacing w:after="0"/>
        <w:rPr>
          <w:sz w:val="20"/>
          <w:szCs w:val="20"/>
          <w:color w:val="auto"/>
        </w:rPr>
      </w:pPr>
      <w:r>
        <w:rPr>
          <w:rFonts w:ascii="Arial" w:cs="Arial" w:eastAsia="Arial" w:hAnsi="Arial"/>
          <w:sz w:val="24"/>
          <w:szCs w:val="24"/>
          <w:color w:val="auto"/>
        </w:rPr>
        <w:t>Meeting Date: September 2, 2025</w:t>
      </w:r>
    </w:p>
    <w:p>
      <w:pPr>
        <w:spacing w:after="0" w:line="59" w:lineRule="exact"/>
        <w:rPr>
          <w:sz w:val="24"/>
          <w:szCs w:val="24"/>
          <w:color w:val="auto"/>
        </w:rPr>
      </w:pPr>
    </w:p>
    <w:p>
      <w:pPr>
        <w:spacing w:after="0"/>
        <w:rPr>
          <w:sz w:val="20"/>
          <w:szCs w:val="20"/>
          <w:color w:val="auto"/>
        </w:rPr>
      </w:pPr>
      <w:r>
        <w:rPr>
          <w:rFonts w:ascii="Arial" w:cs="Arial" w:eastAsia="Arial" w:hAnsi="Arial"/>
          <w:sz w:val="24"/>
          <w:szCs w:val="24"/>
          <w:color w:val="auto"/>
        </w:rPr>
        <w:t>Submitted by: Aileen Munoz</w:t>
      </w:r>
    </w:p>
    <w:p>
      <w:pPr>
        <w:spacing w:after="0" w:line="60" w:lineRule="exact"/>
        <w:rPr>
          <w:sz w:val="24"/>
          <w:szCs w:val="24"/>
          <w:color w:val="auto"/>
        </w:rPr>
      </w:pPr>
    </w:p>
    <w:p>
      <w:pPr>
        <w:spacing w:after="0"/>
        <w:rPr>
          <w:sz w:val="20"/>
          <w:szCs w:val="20"/>
          <w:color w:val="auto"/>
        </w:rPr>
      </w:pPr>
      <w:r>
        <w:rPr>
          <w:rFonts w:ascii="Arial" w:cs="Arial" w:eastAsia="Arial" w:hAnsi="Arial"/>
          <w:sz w:val="24"/>
          <w:szCs w:val="24"/>
          <w:color w:val="auto"/>
        </w:rPr>
        <w:t>From: Community Services</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0</wp:posOffset>
            </wp:positionH>
            <wp:positionV relativeFrom="paragraph">
              <wp:posOffset>111125</wp:posOffset>
            </wp:positionV>
            <wp:extent cx="6362700" cy="152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extLst>
                    </a:blip>
                    <a:srcRect/>
                    <a:stretch>
                      <a:fillRect/>
                    </a:stretch>
                  </pic:blipFill>
                  <pic:spPr bwMode="auto">
                    <a:xfrm>
                      <a:off x="0" y="0"/>
                      <a:ext cx="6362700" cy="15240"/>
                    </a:xfrm>
                    <a:prstGeom prst="rect">
                      <a:avLst/>
                    </a:prstGeom>
                    <a:noFill/>
                  </pic:spPr>
                </pic:pic>
              </a:graphicData>
            </a:graphic>
          </wp:anchor>
        </w:drawing>
      </w:r>
    </w:p>
    <w:p>
      <w:pPr>
        <w:spacing w:after="0" w:line="264" w:lineRule="exact"/>
        <w:rPr>
          <w:sz w:val="24"/>
          <w:szCs w:val="24"/>
          <w:color w:val="auto"/>
        </w:rPr>
      </w:pPr>
    </w:p>
    <w:p>
      <w:pPr>
        <w:spacing w:after="0"/>
        <w:rPr>
          <w:sz w:val="20"/>
          <w:szCs w:val="20"/>
          <w:color w:val="auto"/>
        </w:rPr>
      </w:pPr>
      <w:r>
        <w:rPr>
          <w:rFonts w:ascii="Arial" w:cs="Arial" w:eastAsia="Arial" w:hAnsi="Arial"/>
          <w:sz w:val="24"/>
          <w:szCs w:val="24"/>
          <w:b w:val="1"/>
          <w:bCs w:val="1"/>
          <w:color w:val="auto"/>
        </w:rPr>
        <w:t>Subject:</w:t>
      </w:r>
    </w:p>
    <w:p>
      <w:pPr>
        <w:spacing w:after="0" w:line="34" w:lineRule="exact"/>
        <w:rPr>
          <w:sz w:val="24"/>
          <w:szCs w:val="24"/>
          <w:color w:val="auto"/>
        </w:rPr>
      </w:pPr>
    </w:p>
    <w:p>
      <w:pPr>
        <w:jc w:val="both"/>
        <w:ind w:right="40"/>
        <w:spacing w:after="0" w:line="254" w:lineRule="auto"/>
        <w:rPr>
          <w:sz w:val="20"/>
          <w:szCs w:val="20"/>
          <w:color w:val="auto"/>
        </w:rPr>
      </w:pPr>
      <w:r>
        <w:rPr>
          <w:rFonts w:ascii="Arial" w:cs="Arial" w:eastAsia="Arial" w:hAnsi="Arial"/>
          <w:sz w:val="24"/>
          <w:szCs w:val="24"/>
          <w:color w:val="auto"/>
        </w:rPr>
        <w:t>Resolution Authorizing Application for Land and Water Conservation Fund Grant for McFadden Park Improvements</w:t>
      </w:r>
    </w:p>
    <w:p>
      <w:pPr>
        <w:spacing w:after="0" w:line="174" w:lineRule="exact"/>
        <w:rPr>
          <w:sz w:val="24"/>
          <w:szCs w:val="24"/>
          <w:color w:val="auto"/>
        </w:rPr>
      </w:pPr>
    </w:p>
    <w:p>
      <w:pPr>
        <w:spacing w:after="0"/>
        <w:rPr>
          <w:sz w:val="20"/>
          <w:szCs w:val="20"/>
          <w:color w:val="auto"/>
        </w:rPr>
      </w:pPr>
      <w:r>
        <w:rPr>
          <w:rFonts w:ascii="Arial" w:cs="Arial" w:eastAsia="Arial" w:hAnsi="Arial"/>
          <w:sz w:val="24"/>
          <w:szCs w:val="24"/>
          <w:b w:val="1"/>
          <w:bCs w:val="1"/>
          <w:color w:val="auto"/>
        </w:rPr>
        <w:t>Financial Impact:</w:t>
      </w:r>
    </w:p>
    <w:p>
      <w:pPr>
        <w:spacing w:after="0" w:line="34" w:lineRule="exact"/>
        <w:rPr>
          <w:sz w:val="24"/>
          <w:szCs w:val="24"/>
          <w:color w:val="auto"/>
        </w:rPr>
      </w:pPr>
    </w:p>
    <w:p>
      <w:pPr>
        <w:spacing w:after="0"/>
        <w:rPr>
          <w:sz w:val="20"/>
          <w:szCs w:val="20"/>
          <w:color w:val="auto"/>
        </w:rPr>
      </w:pPr>
      <w:r>
        <w:rPr>
          <w:rFonts w:ascii="Arial" w:cs="Arial" w:eastAsia="Arial" w:hAnsi="Arial"/>
          <w:sz w:val="24"/>
          <w:szCs w:val="24"/>
          <w:u w:val="single" w:color="auto"/>
          <w:color w:val="auto"/>
        </w:rPr>
        <w:t>Fiscal Impact:</w:t>
      </w:r>
    </w:p>
    <w:p>
      <w:pPr>
        <w:spacing w:after="0"/>
        <w:rPr>
          <w:sz w:val="20"/>
          <w:szCs w:val="20"/>
          <w:color w:val="auto"/>
        </w:rPr>
      </w:pPr>
      <w:r>
        <w:rPr>
          <w:rFonts w:ascii="Arial" w:cs="Arial" w:eastAsia="Arial" w:hAnsi="Arial"/>
          <w:sz w:val="24"/>
          <w:szCs w:val="24"/>
          <w:color w:val="auto"/>
        </w:rPr>
        <w:t>Expense: $900,000 (Park Impact Fees &amp; Quimby Fees)</w:t>
      </w:r>
    </w:p>
    <w:p>
      <w:pPr>
        <w:ind w:left="1140"/>
        <w:spacing w:after="0"/>
        <w:rPr>
          <w:sz w:val="20"/>
          <w:szCs w:val="20"/>
          <w:color w:val="auto"/>
        </w:rPr>
      </w:pPr>
      <w:r>
        <w:rPr>
          <w:rFonts w:ascii="Arial" w:cs="Arial" w:eastAsia="Arial" w:hAnsi="Arial"/>
          <w:sz w:val="24"/>
          <w:szCs w:val="24"/>
          <w:u w:val="single" w:color="auto"/>
          <w:color w:val="auto"/>
        </w:rPr>
        <w:t>$900,000</w:t>
      </w:r>
      <w:r>
        <w:rPr>
          <w:rFonts w:ascii="Arial" w:cs="Arial" w:eastAsia="Arial" w:hAnsi="Arial"/>
          <w:sz w:val="24"/>
          <w:szCs w:val="24"/>
          <w:color w:val="auto"/>
        </w:rPr>
        <w:t xml:space="preserve"> (State Grant - Land Water Conservation Fund)</w:t>
      </w:r>
    </w:p>
    <w:p>
      <w:pPr>
        <w:spacing w:after="0"/>
        <w:tabs>
          <w:tab w:leader="none" w:pos="840" w:val="left"/>
        </w:tabs>
        <w:rPr>
          <w:sz w:val="20"/>
          <w:szCs w:val="20"/>
          <w:color w:val="auto"/>
        </w:rPr>
      </w:pPr>
      <w:r>
        <w:rPr>
          <w:rFonts w:ascii="Arial" w:cs="Arial" w:eastAsia="Arial" w:hAnsi="Arial"/>
          <w:sz w:val="24"/>
          <w:szCs w:val="24"/>
          <w:color w:val="auto"/>
        </w:rPr>
        <w:t>Total:</w:t>
        <w:tab/>
        <w:t>$1,800,000</w:t>
      </w:r>
    </w:p>
    <w:p>
      <w:pPr>
        <w:spacing w:after="0"/>
        <w:rPr>
          <w:sz w:val="20"/>
          <w:szCs w:val="20"/>
          <w:color w:val="auto"/>
        </w:rPr>
      </w:pPr>
      <w:r>
        <w:rPr>
          <w:rFonts w:ascii="Arial" w:cs="Arial" w:eastAsia="Arial" w:hAnsi="Arial"/>
          <w:sz w:val="24"/>
          <w:szCs w:val="24"/>
          <w:color w:val="auto"/>
        </w:rPr>
        <w:t>Revenue: $900,000 (Reimbursed by Land Water Conservation Fund)</w:t>
      </w:r>
    </w:p>
    <w:p>
      <w:pPr>
        <w:spacing w:after="0" w:line="206" w:lineRule="exact"/>
        <w:rPr>
          <w:sz w:val="24"/>
          <w:szCs w:val="24"/>
          <w:color w:val="auto"/>
        </w:rPr>
      </w:pPr>
    </w:p>
    <w:p>
      <w:pPr>
        <w:spacing w:after="0"/>
        <w:rPr>
          <w:sz w:val="20"/>
          <w:szCs w:val="20"/>
          <w:color w:val="auto"/>
        </w:rPr>
      </w:pPr>
      <w:r>
        <w:rPr>
          <w:rFonts w:ascii="Arial" w:cs="Arial" w:eastAsia="Arial" w:hAnsi="Arial"/>
          <w:sz w:val="24"/>
          <w:szCs w:val="24"/>
          <w:b w:val="1"/>
          <w:bCs w:val="1"/>
          <w:color w:val="auto"/>
        </w:rPr>
        <w:t>Summary:</w:t>
      </w:r>
    </w:p>
    <w:p>
      <w:pPr>
        <w:spacing w:after="0" w:line="34" w:lineRule="exact"/>
        <w:rPr>
          <w:sz w:val="24"/>
          <w:szCs w:val="24"/>
          <w:color w:val="auto"/>
        </w:rPr>
      </w:pPr>
    </w:p>
    <w:p>
      <w:pPr>
        <w:jc w:val="both"/>
        <w:ind w:right="20"/>
        <w:spacing w:after="0" w:line="245" w:lineRule="auto"/>
        <w:rPr>
          <w:sz w:val="20"/>
          <w:szCs w:val="20"/>
          <w:color w:val="auto"/>
        </w:rPr>
      </w:pPr>
      <w:r>
        <w:rPr>
          <w:rFonts w:ascii="Arial" w:cs="Arial" w:eastAsia="Arial" w:hAnsi="Arial"/>
          <w:sz w:val="24"/>
          <w:szCs w:val="24"/>
          <w:color w:val="auto"/>
        </w:rPr>
        <w:t>In August 2025, the California State Parks, Office of Grants and Local Services (OGALS) announced the availability of the Land and Water Conservation Fund (LWCF) grant program. The City of Placentia is applying for $900,000 in LWCF funds to complete renovations at McFadden Park.</w:t>
      </w:r>
    </w:p>
    <w:p>
      <w:pPr>
        <w:spacing w:after="0" w:line="223" w:lineRule="exact"/>
        <w:rPr>
          <w:sz w:val="24"/>
          <w:szCs w:val="24"/>
          <w:color w:val="auto"/>
        </w:rPr>
      </w:pPr>
    </w:p>
    <w:p>
      <w:pPr>
        <w:jc w:val="both"/>
        <w:ind w:right="20"/>
        <w:spacing w:after="0" w:line="281" w:lineRule="auto"/>
        <w:rPr>
          <w:sz w:val="20"/>
          <w:szCs w:val="20"/>
          <w:color w:val="auto"/>
        </w:rPr>
      </w:pPr>
      <w:r>
        <w:rPr>
          <w:rFonts w:ascii="Arial" w:cs="Arial" w:eastAsia="Arial" w:hAnsi="Arial"/>
          <w:sz w:val="24"/>
          <w:szCs w:val="24"/>
          <w:color w:val="auto"/>
        </w:rPr>
        <w:t>In order to complete the LWCF grant application process, the City Council must adopt a resolution approving the project and certifying compliance with all program requirements.</w:t>
      </w:r>
    </w:p>
    <w:p>
      <w:pPr>
        <w:spacing w:after="0" w:line="142" w:lineRule="exact"/>
        <w:rPr>
          <w:sz w:val="24"/>
          <w:szCs w:val="24"/>
          <w:color w:val="auto"/>
        </w:rPr>
      </w:pPr>
    </w:p>
    <w:p>
      <w:pPr>
        <w:spacing w:after="0"/>
        <w:rPr>
          <w:sz w:val="20"/>
          <w:szCs w:val="20"/>
          <w:color w:val="auto"/>
        </w:rPr>
      </w:pPr>
      <w:r>
        <w:rPr>
          <w:rFonts w:ascii="Arial" w:cs="Arial" w:eastAsia="Arial" w:hAnsi="Arial"/>
          <w:sz w:val="24"/>
          <w:szCs w:val="24"/>
          <w:b w:val="1"/>
          <w:bCs w:val="1"/>
          <w:color w:val="auto"/>
        </w:rPr>
        <w:t>Recommendation:</w:t>
      </w:r>
    </w:p>
    <w:p>
      <w:pPr>
        <w:spacing w:after="0" w:line="34" w:lineRule="exact"/>
        <w:rPr>
          <w:sz w:val="24"/>
          <w:szCs w:val="24"/>
          <w:color w:val="auto"/>
        </w:rPr>
      </w:pPr>
    </w:p>
    <w:p>
      <w:pPr>
        <w:spacing w:after="0"/>
        <w:rPr>
          <w:sz w:val="20"/>
          <w:szCs w:val="20"/>
          <w:color w:val="auto"/>
        </w:rPr>
      </w:pPr>
      <w:r>
        <w:rPr>
          <w:rFonts w:ascii="Arial" w:cs="Arial" w:eastAsia="Arial" w:hAnsi="Arial"/>
          <w:sz w:val="24"/>
          <w:szCs w:val="24"/>
          <w:u w:val="single" w:color="auto"/>
          <w:color w:val="auto"/>
        </w:rPr>
        <w:t>Recommended Action:</w:t>
      </w:r>
      <w:r>
        <w:rPr>
          <w:rFonts w:ascii="Arial" w:cs="Arial" w:eastAsia="Arial" w:hAnsi="Arial"/>
          <w:sz w:val="24"/>
          <w:szCs w:val="24"/>
          <w:color w:val="auto"/>
        </w:rPr>
        <w:t xml:space="preserve"> It is recommended that the City Councill take the following actions:</w:t>
      </w:r>
    </w:p>
    <w:p>
      <w:pPr>
        <w:spacing w:after="0" w:line="210" w:lineRule="exact"/>
        <w:rPr>
          <w:sz w:val="24"/>
          <w:szCs w:val="24"/>
          <w:color w:val="auto"/>
        </w:rPr>
      </w:pPr>
    </w:p>
    <w:p>
      <w:pPr>
        <w:jc w:val="both"/>
        <w:ind w:left="600" w:hanging="336"/>
        <w:spacing w:after="0" w:line="260" w:lineRule="auto"/>
        <w:tabs>
          <w:tab w:leader="none" w:pos="600" w:val="left"/>
        </w:tabs>
        <w:numPr>
          <w:ilvl w:val="0"/>
          <w:numId w:val="1"/>
        </w:numPr>
        <w:rPr>
          <w:rFonts w:ascii="Arial" w:cs="Arial" w:eastAsia="Arial" w:hAnsi="Arial"/>
          <w:sz w:val="24"/>
          <w:szCs w:val="24"/>
          <w:color w:val="auto"/>
        </w:rPr>
      </w:pPr>
      <w:r>
        <w:rPr>
          <w:rFonts w:ascii="Arial" w:cs="Arial" w:eastAsia="Arial" w:hAnsi="Arial"/>
          <w:sz w:val="24"/>
          <w:szCs w:val="24"/>
          <w:color w:val="auto"/>
        </w:rPr>
        <w:t>Adopt Resolution No. R-2025-45, Resolution of the City Council of the City of Placentia, California Authorizing Application for Land and Water Conservation Fund Grant for McFadden Park Improvements; and</w:t>
      </w:r>
    </w:p>
    <w:p>
      <w:pPr>
        <w:spacing w:after="0" w:line="171" w:lineRule="exact"/>
        <w:rPr>
          <w:rFonts w:ascii="Arial" w:cs="Arial" w:eastAsia="Arial" w:hAnsi="Arial"/>
          <w:sz w:val="24"/>
          <w:szCs w:val="24"/>
          <w:color w:val="auto"/>
        </w:rPr>
      </w:pPr>
    </w:p>
    <w:p>
      <w:pPr>
        <w:ind w:left="600" w:hanging="336"/>
        <w:spacing w:after="0" w:line="281" w:lineRule="auto"/>
        <w:tabs>
          <w:tab w:leader="none" w:pos="600" w:val="left"/>
        </w:tabs>
        <w:numPr>
          <w:ilvl w:val="0"/>
          <w:numId w:val="1"/>
        </w:numPr>
        <w:rPr>
          <w:rFonts w:ascii="Arial" w:cs="Arial" w:eastAsia="Arial" w:hAnsi="Arial"/>
          <w:sz w:val="24"/>
          <w:szCs w:val="24"/>
          <w:color w:val="auto"/>
        </w:rPr>
      </w:pPr>
      <w:r>
        <w:rPr>
          <w:rFonts w:ascii="Arial" w:cs="Arial" w:eastAsia="Arial" w:hAnsi="Arial"/>
          <w:sz w:val="24"/>
          <w:szCs w:val="24"/>
          <w:color w:val="auto"/>
        </w:rPr>
        <w:t>Authorize the City Administrator and/or her designee, to execute the necessary documents, in a form approved by the City Attorney.</w:t>
      </w:r>
    </w:p>
    <w:p>
      <w:pPr>
        <w:spacing w:after="0" w:line="142" w:lineRule="exact"/>
        <w:rPr>
          <w:sz w:val="24"/>
          <w:szCs w:val="24"/>
          <w:color w:val="auto"/>
        </w:rPr>
      </w:pPr>
    </w:p>
    <w:p>
      <w:pPr>
        <w:spacing w:after="0"/>
        <w:rPr>
          <w:sz w:val="20"/>
          <w:szCs w:val="20"/>
          <w:color w:val="auto"/>
        </w:rPr>
      </w:pPr>
      <w:r>
        <w:rPr>
          <w:rFonts w:ascii="Arial" w:cs="Arial" w:eastAsia="Arial" w:hAnsi="Arial"/>
          <w:sz w:val="24"/>
          <w:szCs w:val="24"/>
          <w:b w:val="1"/>
          <w:bCs w:val="1"/>
          <w:color w:val="auto"/>
        </w:rPr>
        <w:t>Strategic Plan Statement:</w:t>
      </w:r>
    </w:p>
    <w:p>
      <w:pPr>
        <w:spacing w:after="0" w:line="34" w:lineRule="exact"/>
        <w:rPr>
          <w:sz w:val="24"/>
          <w:szCs w:val="24"/>
          <w:color w:val="auto"/>
        </w:rPr>
      </w:pPr>
    </w:p>
    <w:p>
      <w:pPr>
        <w:jc w:val="both"/>
        <w:spacing w:after="0" w:line="243" w:lineRule="auto"/>
        <w:rPr>
          <w:sz w:val="20"/>
          <w:szCs w:val="20"/>
          <w:color w:val="auto"/>
        </w:rPr>
      </w:pPr>
      <w:r>
        <w:rPr>
          <w:rFonts w:ascii="Arial" w:cs="Arial" w:eastAsia="Arial" w:hAnsi="Arial"/>
          <w:sz w:val="24"/>
          <w:szCs w:val="24"/>
          <w:color w:val="auto"/>
        </w:rPr>
        <w:t>This item is consistent with the City Council approved 5- year Strategic Goal. The McFadden Park renovation project supports Goal #5 by enhancing public infrastructure such as sports fields, walking paths, and recreational amenities that meet the community's needs for safe, inclusive, and active spaces. It also advances Goal #6 by incorporating drought-tolerant landscaping, renovated picnic areas, and a public art mural that enhances the park's</w:t>
      </w:r>
    </w:p>
    <w:p>
      <w:pPr>
        <w:sectPr>
          <w:pgSz w:w="12240" w:h="15840" w:orient="portrait"/>
          <w:cols w:equalWidth="0" w:num="1">
            <w:col w:w="10020"/>
          </w:cols>
          <w:pgMar w:left="1080" w:top="1440" w:right="1140" w:bottom="833" w:gutter="0" w:footer="0" w:header="0"/>
        </w:sectPr>
      </w:pPr>
    </w:p>
    <w:p>
      <w:pPr>
        <w:spacing w:after="0"/>
        <w:rPr>
          <w:sz w:val="20"/>
          <w:szCs w:val="20"/>
          <w:color w:val="auto"/>
        </w:rPr>
      </w:pPr>
      <w:r>
        <w:rPr>
          <w:rFonts w:ascii="Arial" w:cs="Arial" w:eastAsia="Arial" w:hAnsi="Arial"/>
          <w:sz w:val="24"/>
          <w:szCs w:val="24"/>
          <w:color w:val="auto"/>
        </w:rPr>
        <w:t>appearance and overall city beautification.</w:t>
      </w:r>
    </w:p>
    <w:p>
      <w:pPr>
        <w:spacing w:after="0" w:line="237" w:lineRule="exact"/>
        <w:rPr>
          <w:sz w:val="20"/>
          <w:szCs w:val="20"/>
          <w:color w:val="auto"/>
        </w:rPr>
      </w:pPr>
    </w:p>
    <w:p>
      <w:pPr>
        <w:spacing w:after="0"/>
        <w:rPr>
          <w:sz w:val="20"/>
          <w:szCs w:val="20"/>
          <w:color w:val="auto"/>
        </w:rPr>
      </w:pPr>
      <w:r>
        <w:rPr>
          <w:rFonts w:ascii="Arial" w:cs="Arial" w:eastAsia="Arial" w:hAnsi="Arial"/>
          <w:sz w:val="24"/>
          <w:szCs w:val="24"/>
          <w:b w:val="1"/>
          <w:bCs w:val="1"/>
          <w:color w:val="auto"/>
        </w:rPr>
        <w:t>Discussion:</w:t>
      </w:r>
    </w:p>
    <w:p>
      <w:pPr>
        <w:spacing w:after="0" w:line="34" w:lineRule="exact"/>
        <w:rPr>
          <w:sz w:val="20"/>
          <w:szCs w:val="20"/>
          <w:color w:val="auto"/>
        </w:rPr>
      </w:pPr>
    </w:p>
    <w:p>
      <w:pPr>
        <w:jc w:val="both"/>
        <w:spacing w:after="0" w:line="243" w:lineRule="auto"/>
        <w:rPr>
          <w:sz w:val="20"/>
          <w:szCs w:val="20"/>
          <w:color w:val="auto"/>
        </w:rPr>
      </w:pPr>
      <w:r>
        <w:rPr>
          <w:rFonts w:ascii="Arial" w:cs="Arial" w:eastAsia="Arial" w:hAnsi="Arial"/>
          <w:sz w:val="24"/>
          <w:szCs w:val="24"/>
          <w:color w:val="auto"/>
        </w:rPr>
        <w:t>The Land and Water Conservation Fund (LWCF) is a competitive grant program administered by the California State Parks, Office of Grants and Local Services (OGALS). The program provides funding for the acquisition and development of outdoor recreation areas and facilities to ensure public access to quality recreational resources. Projects funded through LWCF must be consistent with the Statewide Comprehensive Outdoor Recreation Plan (SCORP) and demonstrate long-term benefits to the community.</w:t>
      </w:r>
    </w:p>
    <w:p>
      <w:pPr>
        <w:spacing w:after="0" w:line="225" w:lineRule="exact"/>
        <w:rPr>
          <w:sz w:val="20"/>
          <w:szCs w:val="20"/>
          <w:color w:val="auto"/>
        </w:rPr>
      </w:pPr>
    </w:p>
    <w:p>
      <w:pPr>
        <w:jc w:val="both"/>
        <w:spacing w:after="0" w:line="258" w:lineRule="auto"/>
        <w:rPr>
          <w:sz w:val="20"/>
          <w:szCs w:val="20"/>
          <w:color w:val="auto"/>
        </w:rPr>
      </w:pPr>
      <w:r>
        <w:rPr>
          <w:rFonts w:ascii="Arial" w:cs="Arial" w:eastAsia="Arial" w:hAnsi="Arial"/>
          <w:sz w:val="23"/>
          <w:szCs w:val="23"/>
          <w:color w:val="auto"/>
        </w:rPr>
        <w:t>OGALS recommended that all agencies that previously submitted applications for the prior grant program, for which funding is no longer available, also submit applications for the LWCF program to maximize opportunities for funding. In response, City Staff submitted an application for improvements at McFadden Park. The proposed project consists of constructing a full-size soccer field, installing no-climb fencing along the wash, renovating the picnic area, adding a bocce ball court, creating a walking path with fitness QR codes, incorporating drought-tolerant landscaping, and completing a mural along the back side of the park. These improvements will enhance the recreational experience and increase accessibility for all users.</w:t>
      </w:r>
    </w:p>
    <w:p>
      <w:pPr>
        <w:spacing w:after="0" w:line="209" w:lineRule="exact"/>
        <w:rPr>
          <w:sz w:val="20"/>
          <w:szCs w:val="20"/>
          <w:color w:val="auto"/>
        </w:rPr>
      </w:pPr>
    </w:p>
    <w:p>
      <w:pPr>
        <w:jc w:val="both"/>
        <w:spacing w:after="0" w:line="253" w:lineRule="auto"/>
        <w:rPr>
          <w:sz w:val="20"/>
          <w:szCs w:val="20"/>
          <w:color w:val="auto"/>
        </w:rPr>
      </w:pPr>
      <w:r>
        <w:rPr>
          <w:rFonts w:ascii="Arial" w:cs="Arial" w:eastAsia="Arial" w:hAnsi="Arial"/>
          <w:sz w:val="24"/>
          <w:szCs w:val="24"/>
          <w:color w:val="auto"/>
        </w:rPr>
        <w:t>In order to move forward, the City Council must adopt a resolution authorizing the LWCF grant application and certifying compliance with program requirements. If awarded, the grant will provide significant cost savings to the City while delivering meaningful upgrades to the community’s park system.</w:t>
      </w:r>
    </w:p>
    <w:p>
      <w:pPr>
        <w:spacing w:after="0" w:line="216" w:lineRule="exact"/>
        <w:rPr>
          <w:sz w:val="20"/>
          <w:szCs w:val="20"/>
          <w:color w:val="auto"/>
        </w:rPr>
      </w:pPr>
    </w:p>
    <w:p>
      <w:pPr>
        <w:jc w:val="both"/>
        <w:spacing w:after="0" w:line="281" w:lineRule="auto"/>
        <w:rPr>
          <w:sz w:val="20"/>
          <w:szCs w:val="20"/>
          <w:color w:val="auto"/>
        </w:rPr>
      </w:pPr>
      <w:r>
        <w:rPr>
          <w:rFonts w:ascii="Arial" w:cs="Arial" w:eastAsia="Arial" w:hAnsi="Arial"/>
          <w:sz w:val="24"/>
          <w:szCs w:val="24"/>
          <w:color w:val="auto"/>
        </w:rPr>
        <w:t>If awarded the grant, the City would initially cover the cost of the total project and be reimbursed 50% totaling $900,000</w:t>
      </w:r>
    </w:p>
    <w:p>
      <w:pPr>
        <w:spacing w:after="0" w:line="142" w:lineRule="exact"/>
        <w:rPr>
          <w:sz w:val="20"/>
          <w:szCs w:val="20"/>
          <w:color w:val="auto"/>
        </w:rPr>
      </w:pPr>
    </w:p>
    <w:p>
      <w:pPr>
        <w:spacing w:after="0"/>
        <w:rPr>
          <w:sz w:val="20"/>
          <w:szCs w:val="20"/>
          <w:color w:val="auto"/>
        </w:rPr>
      </w:pPr>
      <w:r>
        <w:rPr>
          <w:rFonts w:ascii="Arial" w:cs="Arial" w:eastAsia="Arial" w:hAnsi="Arial"/>
          <w:sz w:val="24"/>
          <w:szCs w:val="24"/>
          <w:b w:val="1"/>
          <w:bCs w:val="1"/>
          <w:color w:val="auto"/>
        </w:rPr>
        <w:t>Fiscal Impact Summary:</w:t>
      </w:r>
    </w:p>
    <w:p>
      <w:pPr>
        <w:spacing w:after="0" w:line="34" w:lineRule="exact"/>
        <w:rPr>
          <w:sz w:val="20"/>
          <w:szCs w:val="20"/>
          <w:color w:val="auto"/>
        </w:rPr>
      </w:pPr>
    </w:p>
    <w:p>
      <w:pPr>
        <w:jc w:val="both"/>
        <w:spacing w:after="0" w:line="245" w:lineRule="auto"/>
        <w:rPr>
          <w:sz w:val="20"/>
          <w:szCs w:val="20"/>
          <w:color w:val="auto"/>
        </w:rPr>
      </w:pPr>
      <w:r>
        <w:rPr>
          <w:rFonts w:ascii="Arial" w:cs="Arial" w:eastAsia="Arial" w:hAnsi="Arial"/>
          <w:sz w:val="24"/>
          <w:szCs w:val="24"/>
          <w:color w:val="auto"/>
        </w:rPr>
        <w:t>The total cost of the proposed project is $1,800,000. There will be no fiscal impact to the Fiscal Year 25-26/26-27 General Fund budget as there are enough Park Impact funds to cover the total cost of the project. Should the City be awarded the grant, Staff will set up a project number and appropriate revenue and expenditures equal to the grant award.</w:t>
      </w:r>
    </w:p>
    <w:p>
      <w:pPr>
        <w:spacing w:after="0" w:line="183" w:lineRule="exact"/>
        <w:rPr>
          <w:sz w:val="20"/>
          <w:szCs w:val="20"/>
          <w:color w:val="auto"/>
        </w:rPr>
      </w:pPr>
    </w:p>
    <w:p>
      <w:pPr>
        <w:spacing w:after="0"/>
        <w:rPr>
          <w:sz w:val="20"/>
          <w:szCs w:val="20"/>
          <w:color w:val="auto"/>
        </w:rPr>
      </w:pPr>
      <w:r>
        <w:rPr>
          <w:rFonts w:ascii="Arial" w:cs="Arial" w:eastAsia="Arial" w:hAnsi="Arial"/>
          <w:sz w:val="24"/>
          <w:szCs w:val="24"/>
          <w:b w:val="1"/>
          <w:bCs w:val="1"/>
          <w:color w:val="auto"/>
        </w:rPr>
        <w:t>Attachments</w:t>
      </w:r>
    </w:p>
    <w:p>
      <w:pPr>
        <w:spacing w:after="0" w:line="35" w:lineRule="exact"/>
        <w:rPr>
          <w:sz w:val="20"/>
          <w:szCs w:val="20"/>
          <w:color w:val="auto"/>
        </w:rPr>
      </w:pPr>
    </w:p>
    <w:p>
      <w:pPr>
        <w:spacing w:after="0"/>
        <w:rPr>
          <w:rFonts w:ascii="Arial" w:cs="Arial" w:eastAsia="Arial" w:hAnsi="Arial"/>
          <w:sz w:val="24"/>
          <w:szCs w:val="24"/>
          <w:color w:val="0000EE"/>
        </w:rPr>
      </w:pPr>
      <w:hyperlink r:id="rId14">
        <w:r>
          <w:rPr>
            <w:rFonts w:ascii="Arial" w:cs="Arial" w:eastAsia="Arial" w:hAnsi="Arial"/>
            <w:sz w:val="24"/>
            <w:szCs w:val="24"/>
            <w:color w:val="0000EE"/>
          </w:rPr>
          <w:t>McFadden LWCF Grant Application.pdf</w:t>
        </w:r>
      </w:hyperlink>
    </w:p>
    <w:p>
      <w:pPr>
        <w:spacing w:after="0"/>
        <w:rPr>
          <w:rFonts w:ascii="Arial" w:cs="Arial" w:eastAsia="Arial" w:hAnsi="Arial"/>
          <w:sz w:val="24"/>
          <w:szCs w:val="24"/>
          <w:color w:val="0000EE"/>
        </w:rPr>
      </w:pPr>
      <w:hyperlink r:id="rId15">
        <w:r>
          <w:rPr>
            <w:rFonts w:ascii="Arial" w:cs="Arial" w:eastAsia="Arial" w:hAnsi="Arial"/>
            <w:sz w:val="24"/>
            <w:szCs w:val="24"/>
            <w:color w:val="0000EE"/>
          </w:rPr>
          <w:t>RESOLUTION NO. R-2025-45.docx</w:t>
        </w:r>
      </w:hyperlink>
    </w:p>
    <w:sectPr>
      <w:pgSz w:w="12240" w:h="15840" w:orient="portrait"/>
      <w:cols w:equalWidth="0" w:num="1">
        <w:col w:w="10020"/>
      </w:cols>
      <w:pgMar w:left="1080" w:top="823" w:right="1140" w:bottom="144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s>
</file>

<file path=word/numbering.xml><?xml version="1.0" encoding="utf-8"?>
<w:numbering xmlns:w="http://schemas.openxmlformats.org/wordprocessingml/2006/main">
  <w:abstractNum w:abstractNumId="0">
    <w:nsid w:val="72AE"/>
    <w:multiLevelType w:val="hybridMultilevel"/>
    <w:lvl w:ilvl="0">
      <w:lvlJc w:val="left"/>
      <w:lvlText w:val="%1."/>
      <w:numFmt w:val="decimal"/>
      <w:start w:val="1"/>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webSettings" Target="webSettings.xml"/><Relationship Id="rId11" Type="http://schemas.openxmlformats.org/officeDocument/2006/relationships/numbering" Target="numbering.xml"/><Relationship Id="rId12" Type="http://schemas.openxmlformats.org/officeDocument/2006/relationships/image" Target="media/image1.jpeg"/><Relationship Id="rId13" Type="http://schemas.openxmlformats.org/officeDocument/2006/relationships/image" Target="media/image2.png"/><Relationship Id="rId14" Type="http://schemas.openxmlformats.org/officeDocument/2006/relationships/hyperlink" Target="https://legistarweb-production.s3.amazonaws.com/uploads/attachment/pdf/3562619/McFadden_LWCF_Grant_Application.pdf" TargetMode="External"/><Relationship Id="rId15" Type="http://schemas.openxmlformats.org/officeDocument/2006/relationships/hyperlink" Target="https://legistarweb-production.s3.amazonaws.com/uploads/attachment/pdf/3569244/RESOLUTION_NO._R-2025-45.pdf"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2025-09-03T20:12:38Z</dcterms:created>
  <dcterms:modified xsi:type="dcterms:W3CDTF">2025-09-03T20:12:38Z</dcterms:modified>
</cp:coreProperties>
</file>