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p>
      <w:pPr>
        <w:spacing w:after="0" w:line="200" w:lineRule="exact"/>
        <w:rPr>
          <w:sz w:val="24"/>
          <w:szCs w:val="24"/>
          <w:color w:val="auto"/>
        </w:rPr>
      </w:pPr>
      <w:r>
        <w:rPr>
          <w:sz w:val="24"/>
          <w:szCs w:val="24"/>
          <w:color w:val="auto"/>
        </w:rPr>
        <w:drawing>
          <wp:anchor simplePos="0" relativeHeight="251657728" behindDoc="1" locked="0" layoutInCell="0" allowOverlap="1">
            <wp:simplePos x="0" y="0"/>
            <wp:positionH relativeFrom="page">
              <wp:posOffset>2438400</wp:posOffset>
            </wp:positionH>
            <wp:positionV relativeFrom="page">
              <wp:posOffset>542925</wp:posOffset>
            </wp:positionV>
            <wp:extent cx="2857500" cy="9906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clrChange>
                        <a:clrFrom>
                          <a:srgbClr val="FFFFFF"/>
                        </a:clrFrom>
                        <a:clrTo>
                          <a:srgbClr val="FFFFFF">
                            <a:alpha val="0"/>
                          </a:srgbClr>
                        </a:clrTo>
                      </a:clrChange>
                      <a:extLst>
                        <a:ext uri="{28A0092B-C50C-407E-A947-70E740481C1C}"/>
                      </a:extLst>
                    </a:blip>
                    <a:srcRect/>
                    <a:stretch>
                      <a:fillRect/>
                    </a:stretch>
                  </pic:blipFill>
                  <pic:spPr bwMode="auto">
                    <a:xfrm>
                      <a:off x="0" y="0"/>
                      <a:ext cx="2857500" cy="99060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364" w:lineRule="exact"/>
        <w:rPr>
          <w:sz w:val="24"/>
          <w:szCs w:val="24"/>
          <w:color w:val="auto"/>
        </w:rPr>
      </w:pPr>
    </w:p>
    <w:p>
      <w:pPr>
        <w:spacing w:after="0"/>
        <w:tabs>
          <w:tab w:leader="none" w:pos="8520" w:val="left"/>
        </w:tabs>
        <w:rPr>
          <w:sz w:val="20"/>
          <w:szCs w:val="20"/>
          <w:color w:val="auto"/>
        </w:rPr>
      </w:pPr>
      <w:r>
        <w:rPr>
          <w:rFonts w:ascii="Arial" w:cs="Arial" w:eastAsia="Arial" w:hAnsi="Arial"/>
          <w:sz w:val="24"/>
          <w:szCs w:val="24"/>
          <w:b w:val="1"/>
          <w:bCs w:val="1"/>
          <w:color w:val="auto"/>
        </w:rPr>
        <w:t>CITY COUNCIL STAFF REPORT</w:t>
      </w:r>
      <w:r>
        <w:rPr>
          <w:sz w:val="20"/>
          <w:szCs w:val="20"/>
          <w:color w:val="auto"/>
        </w:rPr>
        <w:tab/>
      </w:r>
      <w:r>
        <w:rPr>
          <w:rFonts w:ascii="Arial" w:cs="Arial" w:eastAsia="Arial" w:hAnsi="Arial"/>
          <w:sz w:val="23"/>
          <w:szCs w:val="23"/>
          <w:b w:val="1"/>
          <w:bCs w:val="1"/>
          <w:color w:val="auto"/>
        </w:rPr>
        <w:t>ITEM NO. 6.5</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0</wp:posOffset>
            </wp:positionH>
            <wp:positionV relativeFrom="paragraph">
              <wp:posOffset>37465</wp:posOffset>
            </wp:positionV>
            <wp:extent cx="6362700" cy="152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extLst>
                    </a:blip>
                    <a:srcRect/>
                    <a:stretch>
                      <a:fillRect/>
                    </a:stretch>
                  </pic:blipFill>
                  <pic:spPr bwMode="auto">
                    <a:xfrm>
                      <a:off x="0" y="0"/>
                      <a:ext cx="6362700" cy="1524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94" w:lineRule="exact"/>
        <w:rPr>
          <w:sz w:val="24"/>
          <w:szCs w:val="24"/>
          <w:color w:val="auto"/>
        </w:rPr>
      </w:pPr>
    </w:p>
    <w:p>
      <w:pPr>
        <w:spacing w:after="0"/>
        <w:tabs>
          <w:tab w:leader="none" w:pos="1480" w:val="left"/>
        </w:tabs>
        <w:rPr>
          <w:sz w:val="20"/>
          <w:szCs w:val="20"/>
          <w:color w:val="auto"/>
        </w:rPr>
      </w:pPr>
      <w:r>
        <w:rPr>
          <w:rFonts w:ascii="Arial" w:cs="Arial" w:eastAsia="Arial" w:hAnsi="Arial"/>
          <w:sz w:val="22"/>
          <w:szCs w:val="22"/>
          <w:b w:val="1"/>
          <w:bCs w:val="1"/>
          <w:color w:val="auto"/>
        </w:rPr>
        <w:t>DATE:</w:t>
      </w:r>
      <w:r>
        <w:rPr>
          <w:sz w:val="20"/>
          <w:szCs w:val="20"/>
          <w:color w:val="auto"/>
        </w:rPr>
        <w:tab/>
      </w:r>
      <w:r>
        <w:rPr>
          <w:rFonts w:ascii="Arial" w:cs="Arial" w:eastAsia="Arial" w:hAnsi="Arial"/>
          <w:sz w:val="22"/>
          <w:szCs w:val="22"/>
          <w:color w:val="auto"/>
        </w:rPr>
        <w:t>January 12, 2026</w:t>
      </w:r>
    </w:p>
    <w:p>
      <w:pPr>
        <w:spacing w:after="0" w:line="251" w:lineRule="exact"/>
        <w:rPr>
          <w:sz w:val="24"/>
          <w:szCs w:val="24"/>
          <w:color w:val="auto"/>
        </w:rPr>
      </w:pPr>
    </w:p>
    <w:p>
      <w:pPr>
        <w:spacing w:after="0"/>
        <w:tabs>
          <w:tab w:leader="none" w:pos="1480" w:val="left"/>
        </w:tabs>
        <w:rPr>
          <w:sz w:val="20"/>
          <w:szCs w:val="20"/>
          <w:color w:val="auto"/>
        </w:rPr>
      </w:pPr>
      <w:r>
        <w:rPr>
          <w:rFonts w:ascii="Arial" w:cs="Arial" w:eastAsia="Arial" w:hAnsi="Arial"/>
          <w:sz w:val="22"/>
          <w:szCs w:val="22"/>
          <w:b w:val="1"/>
          <w:bCs w:val="1"/>
          <w:color w:val="auto"/>
        </w:rPr>
        <w:t>TO:</w:t>
      </w:r>
      <w:r>
        <w:rPr>
          <w:sz w:val="20"/>
          <w:szCs w:val="20"/>
          <w:color w:val="auto"/>
        </w:rPr>
        <w:tab/>
      </w:r>
      <w:r>
        <w:rPr>
          <w:rFonts w:ascii="Arial" w:cs="Arial" w:eastAsia="Arial" w:hAnsi="Arial"/>
          <w:sz w:val="22"/>
          <w:szCs w:val="22"/>
          <w:color w:val="auto"/>
        </w:rPr>
        <w:t>Honorable Mayor and City Council</w:t>
      </w:r>
    </w:p>
    <w:p>
      <w:pPr>
        <w:spacing w:after="0" w:line="251" w:lineRule="exact"/>
        <w:rPr>
          <w:sz w:val="24"/>
          <w:szCs w:val="24"/>
          <w:color w:val="auto"/>
        </w:rPr>
      </w:pPr>
    </w:p>
    <w:p>
      <w:pPr>
        <w:spacing w:after="0"/>
        <w:tabs>
          <w:tab w:leader="none" w:pos="1480" w:val="left"/>
        </w:tabs>
        <w:rPr>
          <w:sz w:val="20"/>
          <w:szCs w:val="20"/>
          <w:color w:val="auto"/>
        </w:rPr>
      </w:pPr>
      <w:r>
        <w:rPr>
          <w:rFonts w:ascii="Arial" w:cs="Arial" w:eastAsia="Arial" w:hAnsi="Arial"/>
          <w:sz w:val="22"/>
          <w:szCs w:val="22"/>
          <w:b w:val="1"/>
          <w:bCs w:val="1"/>
          <w:color w:val="auto"/>
        </w:rPr>
        <w:t>FROM:</w:t>
      </w:r>
      <w:r>
        <w:rPr>
          <w:sz w:val="20"/>
          <w:szCs w:val="20"/>
          <w:color w:val="auto"/>
        </w:rPr>
        <w:tab/>
      </w:r>
      <w:r>
        <w:rPr>
          <w:rFonts w:ascii="Arial" w:cs="Arial" w:eastAsia="Arial" w:hAnsi="Arial"/>
          <w:sz w:val="22"/>
          <w:szCs w:val="22"/>
          <w:color w:val="auto"/>
        </w:rPr>
        <w:t>Brandon Cardwell, Innovation and Economic Development Director</w:t>
      </w:r>
    </w:p>
    <w:p>
      <w:pPr>
        <w:spacing w:after="0" w:line="251" w:lineRule="exact"/>
        <w:rPr>
          <w:sz w:val="24"/>
          <w:szCs w:val="24"/>
          <w:color w:val="auto"/>
        </w:rPr>
      </w:pPr>
    </w:p>
    <w:p>
      <w:pPr>
        <w:ind w:left="1500" w:right="720" w:hanging="1499"/>
        <w:spacing w:after="0" w:line="309" w:lineRule="auto"/>
        <w:tabs>
          <w:tab w:leader="none" w:pos="1480" w:val="left"/>
        </w:tabs>
        <w:rPr>
          <w:sz w:val="20"/>
          <w:szCs w:val="20"/>
          <w:color w:val="auto"/>
        </w:rPr>
      </w:pPr>
      <w:r>
        <w:rPr>
          <w:rFonts w:ascii="Arial" w:cs="Arial" w:eastAsia="Arial" w:hAnsi="Arial"/>
          <w:sz w:val="22"/>
          <w:szCs w:val="22"/>
          <w:b w:val="1"/>
          <w:bCs w:val="1"/>
          <w:color w:val="auto"/>
        </w:rPr>
        <w:t>SUBJECT:</w:t>
      </w:r>
      <w:r>
        <w:rPr>
          <w:sz w:val="20"/>
          <w:szCs w:val="20"/>
          <w:color w:val="auto"/>
        </w:rPr>
        <w:tab/>
      </w:r>
      <w:r>
        <w:rPr>
          <w:rFonts w:ascii="Arial" w:cs="Arial" w:eastAsia="Arial" w:hAnsi="Arial"/>
          <w:sz w:val="22"/>
          <w:szCs w:val="22"/>
          <w:color w:val="auto"/>
        </w:rPr>
        <w:t>Resolution authorizing the City Manager to execute first amendments to the lease agreements between the City and New Cingular Wireless PCS, LLC.</w:t>
      </w:r>
    </w:p>
    <w:p>
      <w:pPr>
        <w:spacing w:after="0" w:line="357" w:lineRule="exact"/>
        <w:rPr>
          <w:sz w:val="24"/>
          <w:szCs w:val="24"/>
          <w:color w:val="auto"/>
        </w:rPr>
      </w:pPr>
    </w:p>
    <w:p>
      <w:pPr>
        <w:spacing w:after="0"/>
        <w:rPr>
          <w:sz w:val="20"/>
          <w:szCs w:val="20"/>
          <w:color w:val="auto"/>
        </w:rPr>
      </w:pPr>
      <w:r>
        <w:rPr>
          <w:rFonts w:ascii="Arial" w:cs="Arial" w:eastAsia="Arial" w:hAnsi="Arial"/>
          <w:sz w:val="22"/>
          <w:szCs w:val="22"/>
          <w:b w:val="1"/>
          <w:bCs w:val="1"/>
          <w:u w:val="single" w:color="auto"/>
          <w:color w:val="auto"/>
        </w:rPr>
        <w:t>RECOMMENDED ACTION</w:t>
      </w:r>
    </w:p>
    <w:p>
      <w:pPr>
        <w:spacing w:after="0" w:line="325" w:lineRule="exact"/>
        <w:rPr>
          <w:sz w:val="24"/>
          <w:szCs w:val="24"/>
          <w:color w:val="auto"/>
        </w:rPr>
      </w:pPr>
    </w:p>
    <w:p>
      <w:pPr>
        <w:ind w:right="60"/>
        <w:spacing w:after="0" w:line="282" w:lineRule="auto"/>
        <w:rPr>
          <w:sz w:val="20"/>
          <w:szCs w:val="20"/>
          <w:color w:val="auto"/>
        </w:rPr>
      </w:pPr>
      <w:r>
        <w:rPr>
          <w:rFonts w:ascii="Arial" w:cs="Arial" w:eastAsia="Arial" w:hAnsi="Arial"/>
          <w:sz w:val="22"/>
          <w:szCs w:val="22"/>
          <w:color w:val="auto"/>
        </w:rPr>
        <w:t>Staff recommends the City Council adopt a resolution authorizing the City Manager to execute the first amendment to the lease agreements between the City and New Cingular Wireless PCS, LLC, amending Paragraph 5 of the original leases adding sub paragraph (f) Alternative Security, to allow standby letter(s) of credit in the total amount of $10,000 in lieu of the Certificate of Deposit required by Section 5(e)(2) of the original leases.</w:t>
      </w:r>
    </w:p>
    <w:p>
      <w:pPr>
        <w:spacing w:after="0" w:line="200" w:lineRule="exact"/>
        <w:rPr>
          <w:sz w:val="24"/>
          <w:szCs w:val="24"/>
          <w:color w:val="auto"/>
        </w:rPr>
      </w:pPr>
    </w:p>
    <w:p>
      <w:pPr>
        <w:spacing w:after="0" w:line="256" w:lineRule="exact"/>
        <w:rPr>
          <w:sz w:val="24"/>
          <w:szCs w:val="24"/>
          <w:color w:val="auto"/>
        </w:rPr>
      </w:pPr>
    </w:p>
    <w:p>
      <w:pPr>
        <w:spacing w:after="0"/>
        <w:rPr>
          <w:sz w:val="20"/>
          <w:szCs w:val="20"/>
          <w:color w:val="auto"/>
        </w:rPr>
      </w:pPr>
      <w:r>
        <w:rPr>
          <w:rFonts w:ascii="Arial" w:cs="Arial" w:eastAsia="Arial" w:hAnsi="Arial"/>
          <w:sz w:val="22"/>
          <w:szCs w:val="22"/>
          <w:b w:val="1"/>
          <w:bCs w:val="1"/>
          <w:u w:val="single" w:color="auto"/>
          <w:color w:val="auto"/>
        </w:rPr>
        <w:t>DECISION TYPE</w:t>
      </w:r>
    </w:p>
    <w:p>
      <w:pPr>
        <w:spacing w:after="0" w:line="325" w:lineRule="exact"/>
        <w:rPr>
          <w:sz w:val="24"/>
          <w:szCs w:val="24"/>
          <w:color w:val="auto"/>
        </w:rPr>
      </w:pPr>
    </w:p>
    <w:p>
      <w:pPr>
        <w:spacing w:after="0"/>
        <w:rPr>
          <w:sz w:val="20"/>
          <w:szCs w:val="20"/>
          <w:color w:val="auto"/>
        </w:rPr>
      </w:pPr>
      <w:r>
        <w:rPr>
          <w:rFonts w:ascii="Arial" w:cs="Arial" w:eastAsia="Arial" w:hAnsi="Arial"/>
          <w:sz w:val="22"/>
          <w:szCs w:val="22"/>
          <w:color w:val="auto"/>
        </w:rPr>
        <w:t>Quasi-judicial</w:t>
      </w:r>
    </w:p>
    <w:p>
      <w:pPr>
        <w:spacing w:after="0" w:line="249" w:lineRule="exact"/>
        <w:rPr>
          <w:sz w:val="24"/>
          <w:szCs w:val="24"/>
          <w:color w:val="auto"/>
        </w:rPr>
      </w:pPr>
    </w:p>
    <w:p>
      <w:pPr>
        <w:spacing w:after="0"/>
        <w:rPr>
          <w:sz w:val="20"/>
          <w:szCs w:val="20"/>
          <w:color w:val="auto"/>
        </w:rPr>
      </w:pPr>
      <w:r>
        <w:rPr>
          <w:rFonts w:ascii="Arial" w:cs="Arial" w:eastAsia="Arial" w:hAnsi="Arial"/>
          <w:sz w:val="22"/>
          <w:szCs w:val="22"/>
          <w:b w:val="1"/>
          <w:bCs w:val="1"/>
          <w:u w:val="single" w:color="auto"/>
          <w:color w:val="auto"/>
        </w:rPr>
        <w:t>SUMMARY</w:t>
      </w:r>
    </w:p>
    <w:p>
      <w:pPr>
        <w:spacing w:after="0" w:line="325" w:lineRule="exact"/>
        <w:rPr>
          <w:sz w:val="24"/>
          <w:szCs w:val="24"/>
          <w:color w:val="auto"/>
        </w:rPr>
      </w:pPr>
    </w:p>
    <w:p>
      <w:pPr>
        <w:jc w:val="both"/>
        <w:ind w:right="100"/>
        <w:spacing w:after="0" w:line="311" w:lineRule="auto"/>
        <w:rPr>
          <w:sz w:val="20"/>
          <w:szCs w:val="20"/>
          <w:color w:val="auto"/>
        </w:rPr>
      </w:pPr>
      <w:r>
        <w:rPr>
          <w:rFonts w:ascii="Arial" w:cs="Arial" w:eastAsia="Arial" w:hAnsi="Arial"/>
          <w:sz w:val="21"/>
          <w:szCs w:val="21"/>
          <w:color w:val="auto"/>
        </w:rPr>
        <w:t>On September 11, 2024, the City and New Cingular Wireless PCS, LLC (Lessee), executed leases on a portion of two City-owned properties to allow Lessee to install and maintain wireless telecommunication facilities including ground equipment at 2705 Ames Street and 3663 Pacific Avenue.</w:t>
      </w:r>
    </w:p>
    <w:p>
      <w:pPr>
        <w:spacing w:after="0" w:line="213" w:lineRule="exact"/>
        <w:rPr>
          <w:sz w:val="24"/>
          <w:szCs w:val="24"/>
          <w:color w:val="auto"/>
        </w:rPr>
      </w:pPr>
    </w:p>
    <w:p>
      <w:pPr>
        <w:ind w:right="180"/>
        <w:spacing w:after="0" w:line="291" w:lineRule="auto"/>
        <w:rPr>
          <w:sz w:val="20"/>
          <w:szCs w:val="20"/>
          <w:color w:val="auto"/>
        </w:rPr>
      </w:pPr>
      <w:r>
        <w:rPr>
          <w:rFonts w:ascii="Arial" w:cs="Arial" w:eastAsia="Arial" w:hAnsi="Arial"/>
          <w:sz w:val="22"/>
          <w:szCs w:val="22"/>
          <w:color w:val="auto"/>
        </w:rPr>
        <w:t>Paragraph 5(e)(2) of the lease agreements requires the Lessee to provide a Joint Certificate of Deposit in the amount of Ten Thousand Dollars ($10,000) for each lease to ensure the Lessee’s faithful performance of all the terms and conditions in the lease agreements.</w:t>
      </w:r>
    </w:p>
    <w:p>
      <w:pPr>
        <w:spacing w:after="0" w:line="232" w:lineRule="exact"/>
        <w:rPr>
          <w:sz w:val="24"/>
          <w:szCs w:val="24"/>
          <w:color w:val="auto"/>
        </w:rPr>
      </w:pPr>
    </w:p>
    <w:p>
      <w:pPr>
        <w:ind w:right="260"/>
        <w:spacing w:after="0" w:line="298" w:lineRule="auto"/>
        <w:rPr>
          <w:sz w:val="20"/>
          <w:szCs w:val="20"/>
          <w:color w:val="auto"/>
        </w:rPr>
      </w:pPr>
      <w:r>
        <w:rPr>
          <w:rFonts w:ascii="Arial" w:cs="Arial" w:eastAsia="Arial" w:hAnsi="Arial"/>
          <w:sz w:val="21"/>
          <w:szCs w:val="21"/>
          <w:color w:val="auto"/>
        </w:rPr>
        <w:t>Due to Lessee’s difficulties in acquiring Certificates of Deposits, the Lessee approached staff with a request to amend Paragraph 5 of the leases to allow for an original, unconditional, clean, irrevocable, standby letter(s) of credit in the total amount of $10,000 (“Letter of Credit”) for each lease, naming City as the beneficiary, which the City may draw upon to cure any event of default or breach of the lease in lieu of the Certificate of Deposit required by Section 5(e)(2) of the original leases.</w:t>
      </w:r>
    </w:p>
    <w:p>
      <w:pPr>
        <w:spacing w:after="0" w:line="229" w:lineRule="exact"/>
        <w:rPr>
          <w:sz w:val="24"/>
          <w:szCs w:val="24"/>
          <w:color w:val="auto"/>
        </w:rPr>
      </w:pPr>
    </w:p>
    <w:p>
      <w:pPr>
        <w:spacing w:after="0"/>
        <w:rPr>
          <w:sz w:val="20"/>
          <w:szCs w:val="20"/>
          <w:color w:val="auto"/>
        </w:rPr>
      </w:pPr>
      <w:r>
        <w:rPr>
          <w:rFonts w:ascii="Arial" w:cs="Arial" w:eastAsia="Arial" w:hAnsi="Arial"/>
          <w:sz w:val="21"/>
          <w:szCs w:val="21"/>
          <w:color w:val="auto"/>
        </w:rPr>
        <w:t>Staff recommends the City Council adopt a resolution authorizing the City Manager to execute the First</w:t>
      </w:r>
    </w:p>
    <w:p>
      <w:pPr>
        <w:sectPr>
          <w:pgSz w:w="12240" w:h="15840" w:orient="portrait"/>
          <w:cols w:equalWidth="0" w:num="1">
            <w:col w:w="10000"/>
          </w:cols>
          <w:pgMar w:left="1080" w:top="1440" w:right="1160" w:bottom="710" w:gutter="0" w:footer="0" w:header="0"/>
        </w:sectPr>
      </w:pPr>
    </w:p>
    <w:p>
      <w:pPr>
        <w:spacing w:after="0" w:line="284" w:lineRule="auto"/>
        <w:rPr>
          <w:sz w:val="20"/>
          <w:szCs w:val="20"/>
          <w:color w:val="auto"/>
        </w:rPr>
      </w:pPr>
      <w:r>
        <w:rPr>
          <w:rFonts w:ascii="Arial" w:cs="Arial" w:eastAsia="Arial" w:hAnsi="Arial"/>
          <w:sz w:val="22"/>
          <w:szCs w:val="22"/>
          <w:color w:val="auto"/>
        </w:rPr>
        <w:t>Amendment to Lease Agreements between the City and New Cingular Wireless PCS, LLC, amending Paragraph 5 of the original leases to add sub paragraph (f) Alternative Security, to allow standby letter(s) of credit in the amount of $10,000 (“Letter of Credit”) in lieu of the Certificate of Deposit required by Section 5(e)(2) of the original leases.</w:t>
      </w:r>
    </w:p>
    <w:p>
      <w:pPr>
        <w:spacing w:after="0" w:line="167" w:lineRule="exact"/>
        <w:rPr>
          <w:sz w:val="20"/>
          <w:szCs w:val="20"/>
          <w:color w:val="auto"/>
        </w:rPr>
      </w:pPr>
    </w:p>
    <w:p>
      <w:pPr>
        <w:spacing w:after="0"/>
        <w:rPr>
          <w:sz w:val="20"/>
          <w:szCs w:val="20"/>
          <w:color w:val="auto"/>
        </w:rPr>
      </w:pPr>
      <w:r>
        <w:rPr>
          <w:rFonts w:ascii="Arial" w:cs="Arial" w:eastAsia="Arial" w:hAnsi="Arial"/>
          <w:sz w:val="22"/>
          <w:szCs w:val="22"/>
          <w:b w:val="1"/>
          <w:bCs w:val="1"/>
          <w:u w:val="single" w:color="auto"/>
          <w:color w:val="auto"/>
        </w:rPr>
        <w:t>DISCUSSION</w:t>
      </w:r>
    </w:p>
    <w:p>
      <w:pPr>
        <w:spacing w:after="0" w:line="325" w:lineRule="exact"/>
        <w:rPr>
          <w:sz w:val="20"/>
          <w:szCs w:val="20"/>
          <w:color w:val="auto"/>
        </w:rPr>
      </w:pPr>
    </w:p>
    <w:p>
      <w:pPr>
        <w:ind w:right="80"/>
        <w:spacing w:after="0" w:line="277" w:lineRule="auto"/>
        <w:rPr>
          <w:sz w:val="20"/>
          <w:szCs w:val="20"/>
          <w:color w:val="auto"/>
        </w:rPr>
      </w:pPr>
      <w:r>
        <w:rPr>
          <w:rFonts w:ascii="Arial" w:cs="Arial" w:eastAsia="Arial" w:hAnsi="Arial"/>
          <w:sz w:val="22"/>
          <w:szCs w:val="22"/>
          <w:color w:val="auto"/>
        </w:rPr>
        <w:t>On September 11, 2024, the City and New Cingular Wireless PCS, LLC (Lessee), executed leases on a portion of two City-owned properties, allowing the Lessee to erect wireless antennas on an existing PG&amp;E tower at 2705 Ames Street and on an existing Verizon wireless antenna tower at 3663 Pacific Avenue. PG&amp;E granted permission for the Lessee to install wireless antennas on PG&amp;E’s tower, and Verizon granted the Lessee permission to co-locate wireless antennas on Verizon’s existing tower. PG&amp;E has an existing easement for their tower and overhead transmission power lines on the City property at 2705 Ames Street, and Verizon has a current lease with the City for Verizon's existing wireless telecommunication facility at 3663 Pacific Avenue. The Lessee’s new ground equipment, installed and maintained by the Lessee within the leased areas of the lease agreements, supports the operation of the wireless antenna facilities at each site.</w:t>
      </w:r>
    </w:p>
    <w:p>
      <w:pPr>
        <w:spacing w:after="0" w:line="248" w:lineRule="exact"/>
        <w:rPr>
          <w:sz w:val="20"/>
          <w:szCs w:val="20"/>
          <w:color w:val="auto"/>
        </w:rPr>
      </w:pPr>
    </w:p>
    <w:p>
      <w:pPr>
        <w:ind w:right="40"/>
        <w:spacing w:after="0" w:line="282" w:lineRule="auto"/>
        <w:rPr>
          <w:sz w:val="20"/>
          <w:szCs w:val="20"/>
          <w:color w:val="auto"/>
        </w:rPr>
      </w:pPr>
      <w:r>
        <w:rPr>
          <w:rFonts w:ascii="Arial" w:cs="Arial" w:eastAsia="Arial" w:hAnsi="Arial"/>
          <w:sz w:val="22"/>
          <w:szCs w:val="22"/>
          <w:color w:val="auto"/>
        </w:rPr>
        <w:t>Paragraph 5(e)(2) of the original lease agreements requires the Lessee to provide a Joint Certificate of Deposit in the amount of Ten Thousand Dollars ($10,000) for each lease to ensure the Lessee’s faithful performance of all the terms and conditions in the lease agreements. Due to Lessee’s difficulties in acquiring Certificates of Deposits, Lessee approached staff with a request to allow letters of credit in lieu of the Certificates of Deposit.</w:t>
      </w:r>
    </w:p>
    <w:p>
      <w:pPr>
        <w:spacing w:after="0" w:line="242" w:lineRule="exact"/>
        <w:rPr>
          <w:sz w:val="20"/>
          <w:szCs w:val="20"/>
          <w:color w:val="auto"/>
        </w:rPr>
      </w:pPr>
    </w:p>
    <w:p>
      <w:pPr>
        <w:ind w:right="320"/>
        <w:spacing w:after="0" w:line="280" w:lineRule="auto"/>
        <w:rPr>
          <w:sz w:val="20"/>
          <w:szCs w:val="20"/>
          <w:color w:val="auto"/>
        </w:rPr>
      </w:pPr>
      <w:r>
        <w:rPr>
          <w:rFonts w:ascii="Arial" w:cs="Arial" w:eastAsia="Arial" w:hAnsi="Arial"/>
          <w:sz w:val="22"/>
          <w:szCs w:val="22"/>
          <w:color w:val="auto"/>
        </w:rPr>
        <w:t>Staff evaluated the request and determined the Letter of Credit provides sufficient security of performance. Therefore, staff recommends the City Council adopt a resolution authorizing the City Manager to execute the First Amendment to Lease Agreements between the City and New Cingular Wireless PCS, LLC, amending Paragraph 5 of the original leases to add sub paragraph (f) Alternative Security, to allow standby letter(s) of credit in the amount of $10,000 (“Letter of Credit”) in lieu of the Certificate of Deposit required by Section 5(e)(2) of the original leases.</w:t>
      </w:r>
    </w:p>
    <w:p>
      <w:pPr>
        <w:spacing w:after="0" w:line="245" w:lineRule="exact"/>
        <w:rPr>
          <w:sz w:val="20"/>
          <w:szCs w:val="20"/>
          <w:color w:val="auto"/>
        </w:rPr>
      </w:pPr>
    </w:p>
    <w:p>
      <w:pPr>
        <w:ind w:right="640"/>
        <w:spacing w:after="0" w:line="309" w:lineRule="auto"/>
        <w:rPr>
          <w:sz w:val="20"/>
          <w:szCs w:val="20"/>
          <w:color w:val="auto"/>
        </w:rPr>
      </w:pPr>
      <w:r>
        <w:rPr>
          <w:rFonts w:ascii="Arial" w:cs="Arial" w:eastAsia="Arial" w:hAnsi="Arial"/>
          <w:sz w:val="22"/>
          <w:szCs w:val="22"/>
          <w:color w:val="auto"/>
        </w:rPr>
        <w:t>Except as specifically modified by this proposed First Amendment, the terms and conditions of the original lease agreements for each site shall remain in full force and effect.</w:t>
      </w:r>
    </w:p>
    <w:p>
      <w:pPr>
        <w:spacing w:after="0" w:line="211" w:lineRule="exact"/>
        <w:rPr>
          <w:sz w:val="20"/>
          <w:szCs w:val="20"/>
          <w:color w:val="auto"/>
        </w:rPr>
      </w:pPr>
    </w:p>
    <w:p>
      <w:pPr>
        <w:spacing w:after="0"/>
        <w:rPr>
          <w:sz w:val="20"/>
          <w:szCs w:val="20"/>
          <w:color w:val="auto"/>
        </w:rPr>
      </w:pPr>
      <w:r>
        <w:rPr>
          <w:rFonts w:ascii="Arial" w:cs="Arial" w:eastAsia="Arial" w:hAnsi="Arial"/>
          <w:sz w:val="22"/>
          <w:szCs w:val="22"/>
          <w:b w:val="1"/>
          <w:bCs w:val="1"/>
          <w:u w:val="single" w:color="auto"/>
          <w:color w:val="auto"/>
        </w:rPr>
        <w:t>FISCAL AND ADMINISTRATIVE IMPACTS</w:t>
      </w:r>
    </w:p>
    <w:p>
      <w:pPr>
        <w:spacing w:after="0" w:line="325" w:lineRule="exact"/>
        <w:rPr>
          <w:sz w:val="20"/>
          <w:szCs w:val="20"/>
          <w:color w:val="auto"/>
        </w:rPr>
      </w:pPr>
    </w:p>
    <w:p>
      <w:pPr>
        <w:ind w:right="100"/>
        <w:spacing w:after="0" w:line="282" w:lineRule="auto"/>
        <w:rPr>
          <w:sz w:val="20"/>
          <w:szCs w:val="20"/>
          <w:color w:val="auto"/>
        </w:rPr>
      </w:pPr>
      <w:r>
        <w:rPr>
          <w:rFonts w:ascii="Arial" w:cs="Arial" w:eastAsia="Arial" w:hAnsi="Arial"/>
          <w:sz w:val="22"/>
          <w:szCs w:val="22"/>
          <w:color w:val="auto"/>
        </w:rPr>
        <w:t>The rent revenues from these leases remain the same and directly benefit the City’s General Fund. The annual rental revenue from the lease agreement at 2705 Ames Street is approximately $37,200. The annual rental revenue from the lease agreement at 3663 Pacific Avenue is approximately $24,000. This annual rental rate for each of the lease agreements increases by 3.5% each year until the end of the lease term and any approved extensions of the leases.</w:t>
      </w:r>
    </w:p>
    <w:p>
      <w:pPr>
        <w:spacing w:after="0" w:line="240" w:lineRule="exact"/>
        <w:rPr>
          <w:sz w:val="20"/>
          <w:szCs w:val="20"/>
          <w:color w:val="auto"/>
        </w:rPr>
      </w:pPr>
    </w:p>
    <w:p>
      <w:pPr>
        <w:spacing w:after="0"/>
        <w:rPr>
          <w:sz w:val="20"/>
          <w:szCs w:val="20"/>
          <w:color w:val="auto"/>
        </w:rPr>
      </w:pPr>
      <w:r>
        <w:rPr>
          <w:rFonts w:ascii="Arial" w:cs="Arial" w:eastAsia="Arial" w:hAnsi="Arial"/>
          <w:sz w:val="22"/>
          <w:szCs w:val="22"/>
          <w:b w:val="1"/>
          <w:bCs w:val="1"/>
          <w:u w:val="single" w:color="auto"/>
          <w:color w:val="auto"/>
        </w:rPr>
        <w:t>COMMUNITY PILLAR</w:t>
      </w:r>
    </w:p>
    <w:p>
      <w:pPr>
        <w:spacing w:after="0" w:line="325" w:lineRule="exact"/>
        <w:rPr>
          <w:sz w:val="20"/>
          <w:szCs w:val="20"/>
          <w:color w:val="auto"/>
        </w:rPr>
      </w:pPr>
    </w:p>
    <w:p>
      <w:pPr>
        <w:spacing w:after="0"/>
        <w:rPr>
          <w:sz w:val="20"/>
          <w:szCs w:val="20"/>
          <w:color w:val="auto"/>
        </w:rPr>
      </w:pPr>
      <w:r>
        <w:rPr>
          <w:rFonts w:ascii="Arial" w:cs="Arial" w:eastAsia="Arial" w:hAnsi="Arial"/>
          <w:sz w:val="22"/>
          <w:szCs w:val="22"/>
          <w:color w:val="auto"/>
        </w:rPr>
        <w:t>5: A City that Works</w:t>
      </w:r>
    </w:p>
    <w:p>
      <w:pPr>
        <w:spacing w:after="0" w:line="321" w:lineRule="exact"/>
        <w:rPr>
          <w:sz w:val="20"/>
          <w:szCs w:val="20"/>
          <w:color w:val="auto"/>
        </w:rPr>
      </w:pPr>
    </w:p>
    <w:p>
      <w:pPr>
        <w:spacing w:after="0"/>
        <w:rPr>
          <w:sz w:val="20"/>
          <w:szCs w:val="20"/>
          <w:color w:val="auto"/>
        </w:rPr>
      </w:pPr>
      <w:r>
        <w:rPr>
          <w:rFonts w:ascii="Arial" w:cs="Arial" w:eastAsia="Arial" w:hAnsi="Arial"/>
          <w:sz w:val="22"/>
          <w:szCs w:val="22"/>
          <w:b w:val="1"/>
          <w:bCs w:val="1"/>
          <w:u w:val="single" w:color="auto"/>
          <w:color w:val="auto"/>
        </w:rPr>
        <w:t>GOAL</w:t>
      </w:r>
    </w:p>
    <w:p>
      <w:pPr>
        <w:sectPr>
          <w:pgSz w:w="12240" w:h="15840" w:orient="portrait"/>
          <w:cols w:equalWidth="0" w:num="1">
            <w:col w:w="9980"/>
          </w:cols>
          <w:pgMar w:left="1080" w:top="825" w:right="1180" w:bottom="1025" w:gutter="0" w:footer="0" w:header="0"/>
        </w:sectPr>
      </w:pPr>
    </w:p>
    <w:p>
      <w:pPr>
        <w:spacing w:after="0"/>
        <w:rPr>
          <w:sz w:val="20"/>
          <w:szCs w:val="20"/>
          <w:color w:val="auto"/>
        </w:rPr>
      </w:pPr>
      <w:r>
        <w:rPr>
          <w:rFonts w:ascii="Arial" w:cs="Arial" w:eastAsia="Arial" w:hAnsi="Arial"/>
          <w:sz w:val="22"/>
          <w:szCs w:val="22"/>
          <w:color w:val="auto"/>
        </w:rPr>
        <w:t>14: Develop, operate, and maintain the City's infrastructure.</w:t>
      </w:r>
    </w:p>
    <w:p>
      <w:pPr>
        <w:spacing w:after="0" w:line="200" w:lineRule="exact"/>
        <w:rPr>
          <w:sz w:val="20"/>
          <w:szCs w:val="20"/>
          <w:color w:val="auto"/>
        </w:rPr>
      </w:pPr>
    </w:p>
    <w:p>
      <w:pPr>
        <w:spacing w:after="0" w:line="337" w:lineRule="exact"/>
        <w:rPr>
          <w:sz w:val="20"/>
          <w:szCs w:val="20"/>
          <w:color w:val="auto"/>
        </w:rPr>
      </w:pPr>
    </w:p>
    <w:p>
      <w:pPr>
        <w:spacing w:after="0"/>
        <w:rPr>
          <w:sz w:val="20"/>
          <w:szCs w:val="20"/>
          <w:color w:val="auto"/>
        </w:rPr>
      </w:pPr>
      <w:r>
        <w:rPr>
          <w:rFonts w:ascii="Arial" w:cs="Arial" w:eastAsia="Arial" w:hAnsi="Arial"/>
          <w:sz w:val="22"/>
          <w:szCs w:val="22"/>
          <w:b w:val="1"/>
          <w:bCs w:val="1"/>
          <w:u w:val="single" w:color="auto"/>
          <w:color w:val="auto"/>
        </w:rPr>
        <w:t>ATTACHMENTS</w:t>
      </w:r>
    </w:p>
    <w:p>
      <w:pPr>
        <w:spacing w:after="0" w:line="325" w:lineRule="exact"/>
        <w:rPr>
          <w:sz w:val="20"/>
          <w:szCs w:val="20"/>
          <w:color w:val="auto"/>
        </w:rPr>
      </w:pPr>
    </w:p>
    <w:p>
      <w:pPr>
        <w:ind w:left="260" w:hanging="260"/>
        <w:spacing w:after="0"/>
        <w:tabs>
          <w:tab w:leader="none" w:pos="260" w:val="left"/>
        </w:tabs>
        <w:numPr>
          <w:ilvl w:val="0"/>
          <w:numId w:val="1"/>
        </w:numPr>
        <w:rPr>
          <w:rFonts w:ascii="Arial" w:cs="Arial" w:eastAsia="Arial" w:hAnsi="Arial"/>
          <w:sz w:val="24"/>
          <w:szCs w:val="24"/>
          <w:color w:val="0000EE"/>
        </w:rPr>
      </w:pPr>
      <w:hyperlink r:id="rId14">
        <w:r>
          <w:rPr>
            <w:rFonts w:ascii="Arial" w:cs="Arial" w:eastAsia="Arial" w:hAnsi="Arial"/>
            <w:sz w:val="24"/>
            <w:szCs w:val="24"/>
            <w:color w:val="0000EE"/>
          </w:rPr>
          <w:t>Location Map - 2705 Ames Street</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1"/>
        </w:numPr>
        <w:rPr>
          <w:rFonts w:ascii="Arial" w:cs="Arial" w:eastAsia="Arial" w:hAnsi="Arial"/>
          <w:sz w:val="24"/>
          <w:szCs w:val="24"/>
          <w:color w:val="0000EE"/>
        </w:rPr>
      </w:pPr>
      <w:hyperlink r:id="rId15">
        <w:r>
          <w:rPr>
            <w:rFonts w:ascii="Arial" w:cs="Arial" w:eastAsia="Arial" w:hAnsi="Arial"/>
            <w:sz w:val="24"/>
            <w:szCs w:val="24"/>
            <w:color w:val="0000EE"/>
          </w:rPr>
          <w:t>Location Map - 3663 Pacific Ave</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1"/>
        </w:numPr>
        <w:rPr>
          <w:rFonts w:ascii="Arial" w:cs="Arial" w:eastAsia="Arial" w:hAnsi="Arial"/>
          <w:sz w:val="24"/>
          <w:szCs w:val="24"/>
          <w:color w:val="0000EE"/>
        </w:rPr>
      </w:pPr>
      <w:hyperlink r:id="rId16">
        <w:r>
          <w:rPr>
            <w:rFonts w:ascii="Arial" w:cs="Arial" w:eastAsia="Arial" w:hAnsi="Arial"/>
            <w:sz w:val="24"/>
            <w:szCs w:val="24"/>
            <w:color w:val="0000EE"/>
          </w:rPr>
          <w:t>Resolution</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1"/>
        </w:numPr>
        <w:rPr>
          <w:rFonts w:ascii="Arial" w:cs="Arial" w:eastAsia="Arial" w:hAnsi="Arial"/>
          <w:sz w:val="24"/>
          <w:szCs w:val="24"/>
          <w:color w:val="0000EE"/>
        </w:rPr>
      </w:pPr>
      <w:hyperlink r:id="rId17">
        <w:r>
          <w:rPr>
            <w:rFonts w:ascii="Arial" w:cs="Arial" w:eastAsia="Arial" w:hAnsi="Arial"/>
            <w:sz w:val="24"/>
            <w:szCs w:val="24"/>
            <w:color w:val="0000EE"/>
          </w:rPr>
          <w:t>Exhibit A - First Amendment Lease Agreement 2705 Ames St</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1"/>
        </w:numPr>
        <w:rPr>
          <w:rFonts w:ascii="Arial" w:cs="Arial" w:eastAsia="Arial" w:hAnsi="Arial"/>
          <w:sz w:val="23"/>
          <w:szCs w:val="23"/>
          <w:color w:val="0000EE"/>
        </w:rPr>
      </w:pPr>
      <w:hyperlink r:id="rId18">
        <w:r>
          <w:rPr>
            <w:rFonts w:ascii="Arial" w:cs="Arial" w:eastAsia="Arial" w:hAnsi="Arial"/>
            <w:sz w:val="23"/>
            <w:szCs w:val="23"/>
            <w:color w:val="0000EE"/>
          </w:rPr>
          <w:t>Exhibit B - First Amendment Lease Agreement 3663 Pacific Ave</w:t>
        </w:r>
      </w:hyperlink>
    </w:p>
    <w:p>
      <w:pPr>
        <w:spacing w:after="0" w:line="323" w:lineRule="exact"/>
        <w:rPr>
          <w:rFonts w:ascii="Arial" w:cs="Arial" w:eastAsia="Arial" w:hAnsi="Arial"/>
          <w:sz w:val="24"/>
          <w:szCs w:val="24"/>
          <w:color w:val="0000EE"/>
        </w:rPr>
      </w:pPr>
    </w:p>
    <w:p>
      <w:pPr>
        <w:ind w:left="20"/>
        <w:spacing w:after="0"/>
        <w:rPr>
          <w:sz w:val="20"/>
          <w:szCs w:val="20"/>
          <w:color w:val="auto"/>
        </w:rPr>
      </w:pPr>
      <w:r>
        <w:rPr>
          <w:rFonts w:ascii="Arial" w:cs="Arial" w:eastAsia="Arial" w:hAnsi="Arial"/>
          <w:sz w:val="22"/>
          <w:szCs w:val="22"/>
          <w:color w:val="auto"/>
        </w:rPr>
        <w:t>Prepared by: Mike Pato</w:t>
      </w:r>
    </w:p>
    <w:p>
      <w:pPr>
        <w:spacing w:after="0" w:line="27" w:lineRule="exact"/>
        <w:rPr>
          <w:rFonts w:ascii="Arial" w:cs="Arial" w:eastAsia="Arial" w:hAnsi="Arial"/>
          <w:sz w:val="24"/>
          <w:szCs w:val="24"/>
          <w:color w:val="0000EE"/>
        </w:rPr>
      </w:pPr>
    </w:p>
    <w:p>
      <w:pPr>
        <w:ind w:left="1340"/>
        <w:spacing w:after="0"/>
        <w:rPr>
          <w:sz w:val="20"/>
          <w:szCs w:val="20"/>
          <w:color w:val="auto"/>
        </w:rPr>
      </w:pPr>
      <w:r>
        <w:rPr>
          <w:rFonts w:ascii="Arial" w:cs="Arial" w:eastAsia="Arial" w:hAnsi="Arial"/>
          <w:sz w:val="22"/>
          <w:szCs w:val="22"/>
          <w:color w:val="auto"/>
        </w:rPr>
        <w:t>Management Analyst II</w:t>
      </w:r>
    </w:p>
    <w:p>
      <w:pPr>
        <w:sectPr>
          <w:pgSz w:w="12240" w:h="15840" w:orient="portrait"/>
          <w:cols w:equalWidth="0" w:num="1">
            <w:col w:w="9720"/>
          </w:cols>
          <w:pgMar w:left="1080" w:top="847" w:right="1440" w:bottom="1440" w:gutter="0" w:footer="0" w:header="0"/>
        </w:sectPr>
      </w:pPr>
    </w:p>
    <w:p>
      <w:pPr>
        <w:spacing w:after="0" w:line="200" w:lineRule="exact"/>
        <w:rPr>
          <w:rFonts w:ascii="Arial" w:cs="Arial" w:eastAsia="Arial" w:hAnsi="Arial"/>
          <w:sz w:val="24"/>
          <w:szCs w:val="24"/>
          <w:color w:val="0000EE"/>
        </w:rPr>
      </w:pPr>
    </w:p>
    <w:p>
      <w:pPr>
        <w:spacing w:after="0" w:line="200" w:lineRule="exact"/>
        <w:rPr>
          <w:rFonts w:ascii="Arial" w:cs="Arial" w:eastAsia="Arial" w:hAnsi="Arial"/>
          <w:sz w:val="24"/>
          <w:szCs w:val="24"/>
          <w:color w:val="0000EE"/>
        </w:rPr>
      </w:pPr>
    </w:p>
    <w:p>
      <w:pPr>
        <w:spacing w:after="0" w:line="200" w:lineRule="exact"/>
        <w:rPr>
          <w:rFonts w:ascii="Arial" w:cs="Arial" w:eastAsia="Arial" w:hAnsi="Arial"/>
          <w:sz w:val="24"/>
          <w:szCs w:val="24"/>
          <w:color w:val="0000EE"/>
        </w:rPr>
      </w:pPr>
    </w:p>
    <w:p>
      <w:pPr>
        <w:spacing w:after="0" w:line="223" w:lineRule="exact"/>
        <w:rPr>
          <w:rFonts w:ascii="Arial" w:cs="Arial" w:eastAsia="Arial" w:hAnsi="Arial"/>
          <w:sz w:val="24"/>
          <w:szCs w:val="24"/>
          <w:color w:val="0000EE"/>
        </w:rPr>
      </w:pPr>
    </w:p>
    <w:p>
      <w:pPr>
        <w:ind w:left="20"/>
        <w:spacing w:after="0"/>
        <w:rPr>
          <w:sz w:val="20"/>
          <w:szCs w:val="20"/>
          <w:color w:val="auto"/>
        </w:rPr>
      </w:pPr>
      <w:r>
        <w:rPr>
          <w:rFonts w:ascii="Arial" w:cs="Arial" w:eastAsia="Arial" w:hAnsi="Arial"/>
          <w:sz w:val="21"/>
          <w:szCs w:val="21"/>
          <w:color w:val="auto"/>
        </w:rPr>
        <w:t>Approved by:</w:t>
      </w:r>
    </w:p>
    <w:p>
      <w:pPr>
        <w:spacing w:after="0" w:line="20" w:lineRule="exact"/>
        <w:rPr>
          <w:rFonts w:ascii="Arial" w:cs="Arial" w:eastAsia="Arial" w:hAnsi="Arial"/>
          <w:sz w:val="24"/>
          <w:szCs w:val="24"/>
          <w:color w:val="0000EE"/>
        </w:rPr>
      </w:pPr>
      <w:r>
        <w:rPr>
          <w:rFonts w:ascii="Arial" w:cs="Arial" w:eastAsia="Arial" w:hAnsi="Arial"/>
          <w:sz w:val="24"/>
          <w:szCs w:val="24"/>
          <w:color w:val="0000EE"/>
        </w:rPr>
        <w:drawing>
          <wp:anchor simplePos="0" relativeHeight="251657728" behindDoc="1" locked="0" layoutInCell="0" allowOverlap="1">
            <wp:simplePos x="0" y="0"/>
            <wp:positionH relativeFrom="column">
              <wp:posOffset>7620</wp:posOffset>
            </wp:positionH>
            <wp:positionV relativeFrom="paragraph">
              <wp:posOffset>26670</wp:posOffset>
            </wp:positionV>
            <wp:extent cx="1600200" cy="41910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extLst>
                    </a:blip>
                    <a:srcRect/>
                    <a:stretch>
                      <a:fillRect/>
                    </a:stretch>
                  </pic:blipFill>
                  <pic:spPr bwMode="auto">
                    <a:xfrm>
                      <a:off x="0" y="0"/>
                      <a:ext cx="1600200" cy="419100"/>
                    </a:xfrm>
                    <a:prstGeom prst="rect">
                      <a:avLst/>
                    </a:prstGeom>
                    <a:noFill/>
                  </pic:spPr>
                </pic:pic>
              </a:graphicData>
            </a:graphic>
          </wp:anchor>
        </w:drawing>
      </w:r>
    </w:p>
    <w:p>
      <w:pPr>
        <w:spacing w:after="0" w:line="20" w:lineRule="exact"/>
        <w:rPr>
          <w:rFonts w:ascii="Arial" w:cs="Arial" w:eastAsia="Arial" w:hAnsi="Arial"/>
          <w:sz w:val="24"/>
          <w:szCs w:val="24"/>
          <w:color w:val="0000EE"/>
        </w:rPr>
      </w:pPr>
      <w:r>
        <w:rPr>
          <w:rFonts w:ascii="Arial" w:cs="Arial" w:eastAsia="Arial" w:hAnsi="Arial"/>
          <w:sz w:val="24"/>
          <w:szCs w:val="24"/>
          <w:color w:val="0000EE"/>
        </w:rPr>
        <w:br w:type="column"/>
      </w:r>
    </w:p>
    <w:p>
      <w:pPr>
        <w:spacing w:after="0" w:line="200" w:lineRule="exact"/>
        <w:rPr>
          <w:rFonts w:ascii="Arial" w:cs="Arial" w:eastAsia="Arial" w:hAnsi="Arial"/>
          <w:sz w:val="24"/>
          <w:szCs w:val="24"/>
          <w:color w:val="0000EE"/>
        </w:rPr>
      </w:pPr>
    </w:p>
    <w:p>
      <w:pPr>
        <w:spacing w:after="0" w:line="200" w:lineRule="exact"/>
        <w:rPr>
          <w:rFonts w:ascii="Arial" w:cs="Arial" w:eastAsia="Arial" w:hAnsi="Arial"/>
          <w:sz w:val="24"/>
          <w:szCs w:val="24"/>
          <w:color w:val="0000EE"/>
        </w:rPr>
      </w:pPr>
    </w:p>
    <w:p>
      <w:pPr>
        <w:spacing w:after="0" w:line="200" w:lineRule="exact"/>
        <w:rPr>
          <w:rFonts w:ascii="Arial" w:cs="Arial" w:eastAsia="Arial" w:hAnsi="Arial"/>
          <w:sz w:val="24"/>
          <w:szCs w:val="24"/>
          <w:color w:val="0000EE"/>
        </w:rPr>
      </w:pPr>
    </w:p>
    <w:p>
      <w:pPr>
        <w:spacing w:after="0" w:line="203" w:lineRule="exact"/>
        <w:rPr>
          <w:rFonts w:ascii="Arial" w:cs="Arial" w:eastAsia="Arial" w:hAnsi="Arial"/>
          <w:sz w:val="24"/>
          <w:szCs w:val="24"/>
          <w:color w:val="0000EE"/>
        </w:rPr>
      </w:pPr>
    </w:p>
    <w:p>
      <w:pPr>
        <w:spacing w:after="0"/>
        <w:rPr>
          <w:sz w:val="20"/>
          <w:szCs w:val="20"/>
          <w:color w:val="auto"/>
        </w:rPr>
      </w:pPr>
      <w:r>
        <w:rPr>
          <w:rFonts w:ascii="Arial" w:cs="Arial" w:eastAsia="Arial" w:hAnsi="Arial"/>
          <w:sz w:val="21"/>
          <w:szCs w:val="21"/>
          <w:color w:val="auto"/>
        </w:rPr>
        <w:t>Fiscal Review by:</w:t>
      </w:r>
    </w:p>
    <w:p>
      <w:pPr>
        <w:spacing w:after="0" w:line="20" w:lineRule="exact"/>
        <w:rPr>
          <w:rFonts w:ascii="Arial" w:cs="Arial" w:eastAsia="Arial" w:hAnsi="Arial"/>
          <w:sz w:val="24"/>
          <w:szCs w:val="24"/>
          <w:color w:val="0000EE"/>
        </w:rPr>
      </w:pPr>
      <w:r>
        <w:rPr>
          <w:rFonts w:ascii="Arial" w:cs="Arial" w:eastAsia="Arial" w:hAnsi="Arial"/>
          <w:sz w:val="24"/>
          <w:szCs w:val="24"/>
          <w:color w:val="0000EE"/>
        </w:rPr>
        <w:drawing>
          <wp:anchor simplePos="0" relativeHeight="251657728" behindDoc="1" locked="0" layoutInCell="0" allowOverlap="1">
            <wp:simplePos x="0" y="0"/>
            <wp:positionH relativeFrom="column">
              <wp:posOffset>5080</wp:posOffset>
            </wp:positionH>
            <wp:positionV relativeFrom="paragraph">
              <wp:posOffset>26670</wp:posOffset>
            </wp:positionV>
            <wp:extent cx="708660" cy="41910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extLst>
                    </a:blip>
                    <a:srcRect/>
                    <a:stretch>
                      <a:fillRect/>
                    </a:stretch>
                  </pic:blipFill>
                  <pic:spPr bwMode="auto">
                    <a:xfrm>
                      <a:off x="0" y="0"/>
                      <a:ext cx="708660" cy="419100"/>
                    </a:xfrm>
                    <a:prstGeom prst="rect">
                      <a:avLst/>
                    </a:prstGeom>
                    <a:noFill/>
                  </pic:spPr>
                </pic:pic>
              </a:graphicData>
            </a:graphic>
          </wp:anchor>
        </w:drawing>
      </w:r>
    </w:p>
    <w:p>
      <w:pPr>
        <w:spacing w:after="0" w:line="200" w:lineRule="exact"/>
        <w:rPr>
          <w:rFonts w:ascii="Arial" w:cs="Arial" w:eastAsia="Arial" w:hAnsi="Arial"/>
          <w:sz w:val="24"/>
          <w:szCs w:val="24"/>
          <w:color w:val="0000EE"/>
        </w:rPr>
      </w:pPr>
    </w:p>
    <w:p>
      <w:pPr>
        <w:sectPr>
          <w:pgSz w:w="12240" w:h="15840" w:orient="portrait"/>
          <w:cols w:equalWidth="0" w:num="2">
            <w:col w:w="4300" w:space="720"/>
            <w:col w:w="4700"/>
          </w:cols>
          <w:pgMar w:left="1080" w:top="847" w:right="1440" w:bottom="1440" w:gutter="0" w:footer="0" w:header="0"/>
          <w:type w:val="continuous"/>
        </w:sectPr>
      </w:pPr>
    </w:p>
    <w:p>
      <w:pPr>
        <w:spacing w:after="0" w:line="200" w:lineRule="exact"/>
        <w:rPr>
          <w:rFonts w:ascii="Arial" w:cs="Arial" w:eastAsia="Arial" w:hAnsi="Arial"/>
          <w:sz w:val="24"/>
          <w:szCs w:val="24"/>
          <w:color w:val="0000EE"/>
        </w:rPr>
      </w:pPr>
    </w:p>
    <w:p>
      <w:pPr>
        <w:spacing w:after="0" w:line="271" w:lineRule="exact"/>
        <w:rPr>
          <w:rFonts w:ascii="Arial" w:cs="Arial" w:eastAsia="Arial" w:hAnsi="Arial"/>
          <w:sz w:val="24"/>
          <w:szCs w:val="24"/>
          <w:color w:val="0000EE"/>
        </w:rPr>
      </w:pPr>
    </w:p>
    <w:p>
      <w:pPr>
        <w:ind w:left="20"/>
        <w:spacing w:after="0"/>
        <w:rPr>
          <w:sz w:val="20"/>
          <w:szCs w:val="20"/>
          <w:color w:val="auto"/>
        </w:rPr>
      </w:pPr>
      <w:r>
        <w:rPr>
          <w:rFonts w:ascii="Arial" w:cs="Arial" w:eastAsia="Arial" w:hAnsi="Arial"/>
          <w:sz w:val="21"/>
          <w:szCs w:val="21"/>
          <w:color w:val="auto"/>
        </w:rPr>
        <w:t>____________________________________</w:t>
      </w:r>
    </w:p>
    <w:p>
      <w:pPr>
        <w:spacing w:after="0" w:line="38" w:lineRule="exact"/>
        <w:rPr>
          <w:rFonts w:ascii="Arial" w:cs="Arial" w:eastAsia="Arial" w:hAnsi="Arial"/>
          <w:sz w:val="24"/>
          <w:szCs w:val="24"/>
          <w:color w:val="0000EE"/>
        </w:rPr>
      </w:pPr>
    </w:p>
    <w:p>
      <w:pPr>
        <w:ind w:left="20"/>
        <w:spacing w:after="0"/>
        <w:rPr>
          <w:sz w:val="20"/>
          <w:szCs w:val="20"/>
          <w:color w:val="auto"/>
        </w:rPr>
      </w:pPr>
      <w:r>
        <w:rPr>
          <w:rFonts w:ascii="Arial" w:cs="Arial" w:eastAsia="Arial" w:hAnsi="Arial"/>
          <w:sz w:val="22"/>
          <w:szCs w:val="22"/>
          <w:color w:val="auto"/>
        </w:rPr>
        <w:t>Marianna A. Burch</w:t>
      </w:r>
    </w:p>
    <w:p>
      <w:pPr>
        <w:ind w:left="20"/>
        <w:spacing w:after="0"/>
        <w:rPr>
          <w:sz w:val="20"/>
          <w:szCs w:val="20"/>
          <w:color w:val="auto"/>
        </w:rPr>
      </w:pPr>
      <w:r>
        <w:rPr>
          <w:rFonts w:ascii="Arial" w:cs="Arial" w:eastAsia="Arial" w:hAnsi="Arial"/>
          <w:sz w:val="22"/>
          <w:szCs w:val="22"/>
          <w:color w:val="auto"/>
        </w:rPr>
        <w:t>City Manager</w:t>
      </w:r>
    </w:p>
    <w:p>
      <w:pPr>
        <w:spacing w:after="0" w:line="20" w:lineRule="exact"/>
        <w:rPr>
          <w:rFonts w:ascii="Arial" w:cs="Arial" w:eastAsia="Arial" w:hAnsi="Arial"/>
          <w:sz w:val="24"/>
          <w:szCs w:val="24"/>
          <w:color w:val="0000EE"/>
        </w:rPr>
      </w:pPr>
      <w:r>
        <w:rPr>
          <w:rFonts w:ascii="Arial" w:cs="Arial" w:eastAsia="Arial" w:hAnsi="Arial"/>
          <w:sz w:val="24"/>
          <w:szCs w:val="24"/>
          <w:color w:val="0000EE"/>
        </w:rPr>
        <w:br w:type="column"/>
      </w:r>
    </w:p>
    <w:p>
      <w:pPr>
        <w:spacing w:after="0" w:line="200" w:lineRule="exact"/>
        <w:rPr>
          <w:rFonts w:ascii="Arial" w:cs="Arial" w:eastAsia="Arial" w:hAnsi="Arial"/>
          <w:sz w:val="24"/>
          <w:szCs w:val="24"/>
          <w:color w:val="0000EE"/>
        </w:rPr>
      </w:pPr>
    </w:p>
    <w:p>
      <w:pPr>
        <w:spacing w:after="0" w:line="251" w:lineRule="exact"/>
        <w:rPr>
          <w:rFonts w:ascii="Arial" w:cs="Arial" w:eastAsia="Arial" w:hAnsi="Arial"/>
          <w:sz w:val="24"/>
          <w:szCs w:val="24"/>
          <w:color w:val="0000EE"/>
        </w:rPr>
      </w:pPr>
    </w:p>
    <w:p>
      <w:pPr>
        <w:spacing w:after="0"/>
        <w:rPr>
          <w:sz w:val="20"/>
          <w:szCs w:val="20"/>
          <w:color w:val="auto"/>
        </w:rPr>
      </w:pPr>
      <w:r>
        <w:rPr>
          <w:rFonts w:ascii="Arial" w:cs="Arial" w:eastAsia="Arial" w:hAnsi="Arial"/>
          <w:sz w:val="21"/>
          <w:szCs w:val="21"/>
          <w:color w:val="auto"/>
        </w:rPr>
        <w:t>____________________________________</w:t>
      </w:r>
    </w:p>
    <w:p>
      <w:pPr>
        <w:spacing w:after="0" w:line="38" w:lineRule="exact"/>
        <w:rPr>
          <w:rFonts w:ascii="Arial" w:cs="Arial" w:eastAsia="Arial" w:hAnsi="Arial"/>
          <w:sz w:val="24"/>
          <w:szCs w:val="24"/>
          <w:color w:val="0000EE"/>
        </w:rPr>
      </w:pPr>
    </w:p>
    <w:p>
      <w:pPr>
        <w:spacing w:after="0"/>
        <w:rPr>
          <w:sz w:val="20"/>
          <w:szCs w:val="20"/>
          <w:color w:val="auto"/>
        </w:rPr>
      </w:pPr>
      <w:r>
        <w:rPr>
          <w:rFonts w:ascii="Arial" w:cs="Arial" w:eastAsia="Arial" w:hAnsi="Arial"/>
          <w:sz w:val="22"/>
          <w:szCs w:val="22"/>
          <w:color w:val="auto"/>
        </w:rPr>
        <w:t>Tina Olson</w:t>
      </w:r>
    </w:p>
    <w:p>
      <w:pPr>
        <w:spacing w:after="0"/>
        <w:rPr>
          <w:sz w:val="20"/>
          <w:szCs w:val="20"/>
          <w:color w:val="auto"/>
        </w:rPr>
      </w:pPr>
      <w:r>
        <w:rPr>
          <w:rFonts w:ascii="Arial" w:cs="Arial" w:eastAsia="Arial" w:hAnsi="Arial"/>
          <w:sz w:val="22"/>
          <w:szCs w:val="22"/>
          <w:color w:val="auto"/>
        </w:rPr>
        <w:t>Administrative Services Director</w:t>
      </w:r>
    </w:p>
    <w:sectPr>
      <w:pgSz w:w="12240" w:h="15840" w:orient="portrait"/>
      <w:cols w:equalWidth="0" w:num="2">
        <w:col w:w="4340" w:space="680"/>
        <w:col w:w="4700"/>
      </w:cols>
      <w:pgMar w:left="1080" w:top="847" w:right="1440" w:bottom="1440"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400001FF" w:csb1="FFFF0000"/>
  </w:font>
</w:fonts>
</file>

<file path=word/numbering.xml><?xml version="1.0" encoding="utf-8"?>
<w:numbering xmlns:w="http://schemas.openxmlformats.org/wordprocessingml/2006/main">
  <w:abstractNum w:abstractNumId="0">
    <w:nsid w:val="72AE"/>
    <w:multiLevelType w:val="hybridMultilevel"/>
    <w:lvl w:ilvl="0">
      <w:lvlJc w:val="left"/>
      <w:lvlText w:val="%1."/>
      <w:numFmt w:val="decimal"/>
      <w:start w:val="1"/>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webSettings" Target="webSettings.xml"/><Relationship Id="rId11" Type="http://schemas.openxmlformats.org/officeDocument/2006/relationships/numbering" Target="numbering.xml"/><Relationship Id="rId12" Type="http://schemas.openxmlformats.org/officeDocument/2006/relationships/image" Target="media/image1.jpeg"/><Relationship Id="rId13" Type="http://schemas.openxmlformats.org/officeDocument/2006/relationships/image" Target="media/image2.png"/><Relationship Id="rId19" Type="http://schemas.openxmlformats.org/officeDocument/2006/relationships/image" Target="media/image3.jpeg"/><Relationship Id="rId20" Type="http://schemas.openxmlformats.org/officeDocument/2006/relationships/image" Target="media/image4.jpeg"/><Relationship Id="rId14" Type="http://schemas.openxmlformats.org/officeDocument/2006/relationships/hyperlink" Target="https://legistarweb-production.s3.amazonaws.com/uploads/attachment/pdf/3761446/1._Attachment_-_Location_Map_2705_Ames_Street.pdf" TargetMode="External"/><Relationship Id="rId15" Type="http://schemas.openxmlformats.org/officeDocument/2006/relationships/hyperlink" Target="https://legistarweb-production.s3.amazonaws.com/uploads/attachment/pdf/3761448/2._Attachment_-_Location_Map_3663_Pacific_Ave.pdf" TargetMode="External"/><Relationship Id="rId16" Type="http://schemas.openxmlformats.org/officeDocument/2006/relationships/hyperlink" Target="https://legistarweb-production.s3.amazonaws.com/uploads/attachment/pdf/3827488/6.5_Resolution_-_New_Cingular_Wireless_-_Final.pdf" TargetMode="External"/><Relationship Id="rId17" Type="http://schemas.openxmlformats.org/officeDocument/2006/relationships/hyperlink" Target="https://legistarweb-production.s3.amazonaws.com/uploads/attachment/pdf/3761451/4._EXHIBIT_A_-_First_Amendment_Lease_Agreement_2705_Ames_St.pdf" TargetMode="External"/><Relationship Id="rId18" Type="http://schemas.openxmlformats.org/officeDocument/2006/relationships/hyperlink" Target="https://legistarweb-production.s3.amazonaws.com/uploads/attachment/pdf/3761452/5._EXHIBIT_B_-_First_Amendment_Lease_Agreement_3663_Pacific_Ave.pdf"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2026-01-12T19:17:41Z</dcterms:created>
  <dcterms:modified xsi:type="dcterms:W3CDTF">2026-01-12T19:17:41Z</dcterms:modified>
</cp:coreProperties>
</file>