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00" w:lineRule="exact"/>
        <w:rPr>
          <w:sz w:val="24"/>
          <w:szCs w:val="24"/>
          <w:color w:val="auto"/>
        </w:rPr>
      </w:pPr>
      <w:r>
        <w:rPr>
          <w:sz w:val="24"/>
          <w:szCs w:val="24"/>
          <w:color w:val="auto"/>
        </w:rPr>
        <w:drawing>
          <wp:anchor simplePos="0" relativeHeight="251657728" behindDoc="1" locked="0" layoutInCell="0" allowOverlap="1">
            <wp:simplePos x="0" y="0"/>
            <wp:positionH relativeFrom="page">
              <wp:posOffset>2438400</wp:posOffset>
            </wp:positionH>
            <wp:positionV relativeFrom="page">
              <wp:posOffset>542925</wp:posOffset>
            </wp:positionV>
            <wp:extent cx="2857500" cy="9906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2857500" cy="99060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364" w:lineRule="exact"/>
        <w:rPr>
          <w:sz w:val="24"/>
          <w:szCs w:val="24"/>
          <w:color w:val="auto"/>
        </w:rPr>
      </w:pPr>
    </w:p>
    <w:p>
      <w:pPr>
        <w:spacing w:after="0"/>
        <w:tabs>
          <w:tab w:leader="none" w:pos="8520" w:val="left"/>
        </w:tabs>
        <w:rPr>
          <w:sz w:val="20"/>
          <w:szCs w:val="20"/>
          <w:color w:val="auto"/>
        </w:rPr>
      </w:pPr>
      <w:r>
        <w:rPr>
          <w:rFonts w:ascii="Arial" w:cs="Arial" w:eastAsia="Arial" w:hAnsi="Arial"/>
          <w:sz w:val="24"/>
          <w:szCs w:val="24"/>
          <w:b w:val="1"/>
          <w:bCs w:val="1"/>
          <w:color w:val="auto"/>
        </w:rPr>
        <w:t>PLANNING COMMISSION STAFF REPORT</w:t>
      </w:r>
      <w:r>
        <w:rPr>
          <w:sz w:val="20"/>
          <w:szCs w:val="20"/>
          <w:color w:val="auto"/>
        </w:rPr>
        <w:tab/>
      </w:r>
      <w:r>
        <w:rPr>
          <w:rFonts w:ascii="Arial" w:cs="Arial" w:eastAsia="Arial" w:hAnsi="Arial"/>
          <w:sz w:val="23"/>
          <w:szCs w:val="23"/>
          <w:b w:val="1"/>
          <w:bCs w:val="1"/>
          <w:color w:val="auto"/>
        </w:rPr>
        <w:t>ITEM NO. 5.1</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37465</wp:posOffset>
            </wp:positionV>
            <wp:extent cx="6362700" cy="152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1524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94" w:lineRule="exact"/>
        <w:rPr>
          <w:sz w:val="24"/>
          <w:szCs w:val="24"/>
          <w:color w:val="auto"/>
        </w:rPr>
      </w:pPr>
    </w:p>
    <w:p>
      <w:pPr>
        <w:spacing w:after="0"/>
        <w:tabs>
          <w:tab w:leader="none" w:pos="1480" w:val="left"/>
        </w:tabs>
        <w:rPr>
          <w:sz w:val="20"/>
          <w:szCs w:val="20"/>
          <w:color w:val="auto"/>
        </w:rPr>
      </w:pPr>
      <w:r>
        <w:rPr>
          <w:rFonts w:ascii="Arial" w:cs="Arial" w:eastAsia="Arial" w:hAnsi="Arial"/>
          <w:sz w:val="22"/>
          <w:szCs w:val="22"/>
          <w:b w:val="1"/>
          <w:bCs w:val="1"/>
          <w:color w:val="auto"/>
        </w:rPr>
        <w:t>DATE:</w:t>
      </w:r>
      <w:r>
        <w:rPr>
          <w:sz w:val="20"/>
          <w:szCs w:val="20"/>
          <w:color w:val="auto"/>
        </w:rPr>
        <w:tab/>
      </w:r>
      <w:r>
        <w:rPr>
          <w:rFonts w:ascii="Arial" w:cs="Arial" w:eastAsia="Arial" w:hAnsi="Arial"/>
          <w:sz w:val="22"/>
          <w:szCs w:val="22"/>
          <w:color w:val="auto"/>
        </w:rPr>
        <w:t>August 18, 2026</w:t>
      </w:r>
    </w:p>
    <w:p>
      <w:pPr>
        <w:spacing w:after="0" w:line="251" w:lineRule="exact"/>
        <w:rPr>
          <w:sz w:val="24"/>
          <w:szCs w:val="24"/>
          <w:color w:val="auto"/>
        </w:rPr>
      </w:pPr>
    </w:p>
    <w:p>
      <w:pPr>
        <w:spacing w:after="0"/>
        <w:tabs>
          <w:tab w:leader="none" w:pos="1480" w:val="left"/>
        </w:tabs>
        <w:rPr>
          <w:sz w:val="20"/>
          <w:szCs w:val="20"/>
          <w:color w:val="auto"/>
        </w:rPr>
      </w:pPr>
      <w:r>
        <w:rPr>
          <w:rFonts w:ascii="Arial" w:cs="Arial" w:eastAsia="Arial" w:hAnsi="Arial"/>
          <w:sz w:val="22"/>
          <w:szCs w:val="22"/>
          <w:b w:val="1"/>
          <w:bCs w:val="1"/>
          <w:color w:val="auto"/>
        </w:rPr>
        <w:t>TO:</w:t>
      </w:r>
      <w:r>
        <w:rPr>
          <w:sz w:val="20"/>
          <w:szCs w:val="20"/>
          <w:color w:val="auto"/>
        </w:rPr>
        <w:tab/>
      </w:r>
      <w:r>
        <w:rPr>
          <w:rFonts w:ascii="Arial" w:cs="Arial" w:eastAsia="Arial" w:hAnsi="Arial"/>
          <w:sz w:val="22"/>
          <w:szCs w:val="22"/>
          <w:color w:val="auto"/>
        </w:rPr>
        <w:t>Chairperson and Members of the Planning Commission</w:t>
      </w:r>
    </w:p>
    <w:p>
      <w:pPr>
        <w:spacing w:after="0" w:line="251" w:lineRule="exact"/>
        <w:rPr>
          <w:sz w:val="24"/>
          <w:szCs w:val="24"/>
          <w:color w:val="auto"/>
        </w:rPr>
      </w:pPr>
    </w:p>
    <w:p>
      <w:pPr>
        <w:spacing w:after="0"/>
        <w:tabs>
          <w:tab w:leader="none" w:pos="1480" w:val="left"/>
        </w:tabs>
        <w:rPr>
          <w:sz w:val="20"/>
          <w:szCs w:val="20"/>
          <w:color w:val="auto"/>
        </w:rPr>
      </w:pPr>
      <w:r>
        <w:rPr>
          <w:rFonts w:ascii="Arial" w:cs="Arial" w:eastAsia="Arial" w:hAnsi="Arial"/>
          <w:sz w:val="22"/>
          <w:szCs w:val="22"/>
          <w:b w:val="1"/>
          <w:bCs w:val="1"/>
          <w:color w:val="auto"/>
        </w:rPr>
        <w:t>FROM:</w:t>
      </w:r>
      <w:r>
        <w:rPr>
          <w:sz w:val="20"/>
          <w:szCs w:val="20"/>
          <w:color w:val="auto"/>
        </w:rPr>
        <w:tab/>
      </w:r>
      <w:r>
        <w:rPr>
          <w:rFonts w:ascii="Arial" w:cs="Arial" w:eastAsia="Arial" w:hAnsi="Arial"/>
          <w:sz w:val="22"/>
          <w:szCs w:val="22"/>
          <w:color w:val="auto"/>
        </w:rPr>
        <w:t>Steve Riley, Planning Manager</w:t>
      </w:r>
    </w:p>
    <w:p>
      <w:pPr>
        <w:spacing w:after="0" w:line="251" w:lineRule="exact"/>
        <w:rPr>
          <w:sz w:val="24"/>
          <w:szCs w:val="24"/>
          <w:color w:val="auto"/>
        </w:rPr>
      </w:pPr>
    </w:p>
    <w:p>
      <w:pPr>
        <w:ind w:left="1500" w:right="60" w:hanging="1499"/>
        <w:spacing w:after="0" w:line="285" w:lineRule="auto"/>
        <w:tabs>
          <w:tab w:leader="none" w:pos="1480" w:val="left"/>
        </w:tabs>
        <w:rPr>
          <w:sz w:val="20"/>
          <w:szCs w:val="20"/>
          <w:color w:val="auto"/>
        </w:rPr>
      </w:pPr>
      <w:r>
        <w:rPr>
          <w:rFonts w:ascii="Arial" w:cs="Arial" w:eastAsia="Arial" w:hAnsi="Arial"/>
          <w:sz w:val="22"/>
          <w:szCs w:val="22"/>
          <w:b w:val="1"/>
          <w:bCs w:val="1"/>
          <w:color w:val="auto"/>
        </w:rPr>
        <w:t>SUBJECT:</w:t>
      </w:r>
      <w:r>
        <w:rPr>
          <w:sz w:val="20"/>
          <w:szCs w:val="20"/>
          <w:color w:val="auto"/>
        </w:rPr>
        <w:tab/>
      </w:r>
      <w:r>
        <w:rPr>
          <w:rFonts w:ascii="Arial" w:cs="Arial" w:eastAsia="Arial" w:hAnsi="Arial"/>
          <w:sz w:val="22"/>
          <w:szCs w:val="22"/>
          <w:color w:val="auto"/>
        </w:rPr>
        <w:t>Hearing to consider Conditional Use Permit 26-001 and Site Plan Design Review 26-001 to authorize demolishing the existing Fire Station No. 6 and constructing a new approximately 13,000-square-foot fire station, a 2,600-square-foot reserve apparatus building, and associated site improvements.</w:t>
      </w:r>
    </w:p>
    <w:p>
      <w:pPr>
        <w:spacing w:after="0" w:line="382" w:lineRule="exact"/>
        <w:rPr>
          <w:sz w:val="24"/>
          <w:szCs w:val="24"/>
          <w:color w:val="auto"/>
        </w:rPr>
      </w:pPr>
    </w:p>
    <w:p>
      <w:pPr>
        <w:spacing w:after="0"/>
        <w:rPr>
          <w:sz w:val="20"/>
          <w:szCs w:val="20"/>
          <w:color w:val="auto"/>
        </w:rPr>
      </w:pPr>
      <w:r>
        <w:rPr>
          <w:rFonts w:ascii="Arial" w:cs="Arial" w:eastAsia="Arial" w:hAnsi="Arial"/>
          <w:sz w:val="22"/>
          <w:szCs w:val="22"/>
          <w:b w:val="1"/>
          <w:bCs w:val="1"/>
          <w:u w:val="single" w:color="auto"/>
          <w:color w:val="auto"/>
        </w:rPr>
        <w:t>RECOMMENDED ACTION</w:t>
      </w:r>
    </w:p>
    <w:p>
      <w:pPr>
        <w:spacing w:after="0" w:line="325" w:lineRule="exact"/>
        <w:rPr>
          <w:sz w:val="24"/>
          <w:szCs w:val="24"/>
          <w:color w:val="auto"/>
        </w:rPr>
      </w:pPr>
    </w:p>
    <w:p>
      <w:pPr>
        <w:spacing w:after="0"/>
        <w:rPr>
          <w:sz w:val="20"/>
          <w:szCs w:val="20"/>
          <w:color w:val="auto"/>
        </w:rPr>
      </w:pPr>
      <w:r>
        <w:rPr>
          <w:rFonts w:ascii="Arial" w:cs="Arial" w:eastAsia="Arial" w:hAnsi="Arial"/>
          <w:sz w:val="22"/>
          <w:szCs w:val="22"/>
          <w:color w:val="auto"/>
        </w:rPr>
        <w:t>Staff recommends the Planning Commission:</w:t>
      </w:r>
    </w:p>
    <w:p>
      <w:pPr>
        <w:spacing w:after="0" w:line="323" w:lineRule="exact"/>
        <w:rPr>
          <w:sz w:val="24"/>
          <w:szCs w:val="24"/>
          <w:color w:val="auto"/>
        </w:rPr>
      </w:pPr>
    </w:p>
    <w:p>
      <w:pPr>
        <w:ind w:left="600" w:right="120" w:hanging="300"/>
        <w:spacing w:after="0" w:line="274" w:lineRule="auto"/>
        <w:tabs>
          <w:tab w:leader="none" w:pos="600" w:val="left"/>
        </w:tabs>
        <w:numPr>
          <w:ilvl w:val="0"/>
          <w:numId w:val="1"/>
        </w:numPr>
        <w:rPr>
          <w:rFonts w:ascii="Arial" w:cs="Arial" w:eastAsia="Arial" w:hAnsi="Arial"/>
          <w:sz w:val="22"/>
          <w:szCs w:val="22"/>
          <w:color w:val="auto"/>
        </w:rPr>
      </w:pPr>
      <w:r>
        <w:rPr>
          <w:rFonts w:ascii="Arial" w:cs="Arial" w:eastAsia="Arial" w:hAnsi="Arial"/>
          <w:sz w:val="22"/>
          <w:szCs w:val="22"/>
          <w:color w:val="auto"/>
        </w:rPr>
        <w:t>Adopt a resolution finding that the project is exempt from the California Environmental Quality Act (CEQA) under CEQA Guidelines Section 15302, Replacement or Reconstruction;</w:t>
      </w:r>
    </w:p>
    <w:p>
      <w:pPr>
        <w:spacing w:after="0" w:line="1" w:lineRule="exact"/>
        <w:rPr>
          <w:rFonts w:ascii="Arial" w:cs="Arial" w:eastAsia="Arial" w:hAnsi="Arial"/>
          <w:sz w:val="22"/>
          <w:szCs w:val="22"/>
          <w:color w:val="auto"/>
        </w:rPr>
      </w:pPr>
    </w:p>
    <w:p>
      <w:pPr>
        <w:ind w:left="600" w:right="160" w:hanging="300"/>
        <w:spacing w:after="0" w:line="273" w:lineRule="auto"/>
        <w:tabs>
          <w:tab w:leader="none" w:pos="600" w:val="left"/>
        </w:tabs>
        <w:numPr>
          <w:ilvl w:val="0"/>
          <w:numId w:val="1"/>
        </w:numPr>
        <w:rPr>
          <w:rFonts w:ascii="Arial" w:cs="Arial" w:eastAsia="Arial" w:hAnsi="Arial"/>
          <w:sz w:val="22"/>
          <w:szCs w:val="22"/>
          <w:color w:val="auto"/>
        </w:rPr>
      </w:pPr>
      <w:r>
        <w:rPr>
          <w:rFonts w:ascii="Arial" w:cs="Arial" w:eastAsia="Arial" w:hAnsi="Arial"/>
          <w:sz w:val="22"/>
          <w:szCs w:val="22"/>
          <w:color w:val="auto"/>
        </w:rPr>
        <w:t>Adopt a resolution approving Conditional Use Permit (CUP) 26-001 and Site Plan Design Review 26-001, subject to the attached Conditions of Approval;</w:t>
      </w:r>
    </w:p>
    <w:p>
      <w:pPr>
        <w:ind w:left="600" w:right="480" w:hanging="300"/>
        <w:spacing w:after="0" w:line="273" w:lineRule="auto"/>
        <w:tabs>
          <w:tab w:leader="none" w:pos="600" w:val="left"/>
        </w:tabs>
        <w:numPr>
          <w:ilvl w:val="0"/>
          <w:numId w:val="1"/>
        </w:numPr>
        <w:rPr>
          <w:rFonts w:ascii="Arial" w:cs="Arial" w:eastAsia="Arial" w:hAnsi="Arial"/>
          <w:sz w:val="22"/>
          <w:szCs w:val="22"/>
          <w:color w:val="auto"/>
        </w:rPr>
      </w:pPr>
      <w:r>
        <w:rPr>
          <w:rFonts w:ascii="Arial" w:cs="Arial" w:eastAsia="Arial" w:hAnsi="Arial"/>
          <w:sz w:val="22"/>
          <w:szCs w:val="22"/>
          <w:color w:val="auto"/>
        </w:rPr>
        <w:t>Direct the Planning Manager to file a Notice of Exemption with the Alameda County Clerk and State Clearinghouse; and</w:t>
      </w:r>
    </w:p>
    <w:p>
      <w:pPr>
        <w:ind w:left="600" w:hanging="300"/>
        <w:spacing w:after="0"/>
        <w:tabs>
          <w:tab w:leader="none" w:pos="600" w:val="left"/>
        </w:tabs>
        <w:numPr>
          <w:ilvl w:val="0"/>
          <w:numId w:val="1"/>
        </w:numPr>
        <w:rPr>
          <w:rFonts w:ascii="Arial" w:cs="Arial" w:eastAsia="Arial" w:hAnsi="Arial"/>
          <w:sz w:val="22"/>
          <w:szCs w:val="22"/>
          <w:color w:val="auto"/>
        </w:rPr>
      </w:pPr>
      <w:r>
        <w:rPr>
          <w:rFonts w:ascii="Arial" w:cs="Arial" w:eastAsia="Arial" w:hAnsi="Arial"/>
          <w:sz w:val="22"/>
          <w:szCs w:val="22"/>
          <w:color w:val="auto"/>
        </w:rPr>
        <w:t>Advise the applicant that the Project approval is subject to a 15-day appeal period.</w:t>
      </w:r>
    </w:p>
    <w:p>
      <w:pPr>
        <w:spacing w:after="0" w:line="246" w:lineRule="exact"/>
        <w:rPr>
          <w:sz w:val="24"/>
          <w:szCs w:val="24"/>
          <w:color w:val="auto"/>
        </w:rPr>
      </w:pPr>
    </w:p>
    <w:p>
      <w:pPr>
        <w:spacing w:after="0"/>
        <w:rPr>
          <w:sz w:val="20"/>
          <w:szCs w:val="20"/>
          <w:color w:val="auto"/>
        </w:rPr>
      </w:pPr>
      <w:r>
        <w:rPr>
          <w:rFonts w:ascii="Arial" w:cs="Arial" w:eastAsia="Arial" w:hAnsi="Arial"/>
          <w:sz w:val="22"/>
          <w:szCs w:val="22"/>
          <w:b w:val="1"/>
          <w:bCs w:val="1"/>
          <w:u w:val="single" w:color="auto"/>
          <w:color w:val="auto"/>
        </w:rPr>
        <w:t>SUMMARY</w:t>
      </w:r>
    </w:p>
    <w:p>
      <w:pPr>
        <w:spacing w:after="0" w:line="325" w:lineRule="exact"/>
        <w:rPr>
          <w:sz w:val="24"/>
          <w:szCs w:val="24"/>
          <w:color w:val="auto"/>
        </w:rPr>
      </w:pPr>
    </w:p>
    <w:p>
      <w:pPr>
        <w:ind w:right="280"/>
        <w:spacing w:after="0" w:line="282" w:lineRule="auto"/>
        <w:rPr>
          <w:sz w:val="20"/>
          <w:szCs w:val="20"/>
          <w:color w:val="auto"/>
        </w:rPr>
      </w:pPr>
      <w:r>
        <w:rPr>
          <w:rFonts w:ascii="Arial" w:cs="Arial" w:eastAsia="Arial" w:hAnsi="Arial"/>
          <w:sz w:val="22"/>
          <w:szCs w:val="22"/>
          <w:color w:val="auto"/>
        </w:rPr>
        <w:t>Fire Station No. 6, located at 4550 East Avenue next to the Robert Livermore Community Center, was constructed in 1976 and is the oldest fire station in Livermore. The station is currently staffed by four personnel including one Captain, one Engineer, and two Firefighters and houses four apparatuses, including two trucks and two engines. To continue serving the community effectively and meet current operational standards, the facility requires replacement.</w:t>
      </w:r>
    </w:p>
    <w:p>
      <w:pPr>
        <w:spacing w:after="0" w:line="242" w:lineRule="exact"/>
        <w:rPr>
          <w:sz w:val="24"/>
          <w:szCs w:val="24"/>
          <w:color w:val="auto"/>
        </w:rPr>
      </w:pPr>
    </w:p>
    <w:p>
      <w:pPr>
        <w:ind w:right="20"/>
        <w:spacing w:after="0" w:line="280" w:lineRule="auto"/>
        <w:rPr>
          <w:sz w:val="20"/>
          <w:szCs w:val="20"/>
          <w:color w:val="auto"/>
        </w:rPr>
      </w:pPr>
      <w:r>
        <w:rPr>
          <w:rFonts w:ascii="Arial" w:cs="Arial" w:eastAsia="Arial" w:hAnsi="Arial"/>
          <w:sz w:val="22"/>
          <w:szCs w:val="22"/>
          <w:color w:val="auto"/>
        </w:rPr>
        <w:t>The new station would provide Americans with Disabilities Act (ADA)-compliant accessibility, satisfy California's Essential Services Building requirements, and incorporate modern decontamination areas to reduce potential exposure of firefighters, staff, and visitors to hazardous contaminants. The replacement facility would also improve firefighter living and sleeping quarters, expand equipment and vehicle storage capacity, enhance the visitor experience for those viewing the Centennial Light Bulb, and modernize the station with sustainable design features and advanced technology.</w:t>
      </w:r>
    </w:p>
    <w:p>
      <w:pPr>
        <w:sectPr>
          <w:pgSz w:w="12240" w:h="15840" w:orient="portrait"/>
          <w:cols w:equalWidth="0" w:num="1">
            <w:col w:w="10000"/>
          </w:cols>
          <w:pgMar w:left="1080" w:top="1440" w:right="1160" w:bottom="1125" w:gutter="0" w:footer="0" w:header="0"/>
        </w:sectPr>
      </w:pPr>
    </w:p>
    <w:p>
      <w:pPr>
        <w:ind w:right="160"/>
        <w:spacing w:after="0" w:line="279" w:lineRule="auto"/>
        <w:rPr>
          <w:sz w:val="20"/>
          <w:szCs w:val="20"/>
          <w:color w:val="auto"/>
        </w:rPr>
      </w:pPr>
      <w:r>
        <w:rPr>
          <w:rFonts w:ascii="Arial" w:cs="Arial" w:eastAsia="Arial" w:hAnsi="Arial"/>
          <w:sz w:val="22"/>
          <w:szCs w:val="22"/>
          <w:color w:val="auto"/>
        </w:rPr>
        <w:t>The existing Livermore Pleasanton Fire Department (LPFD) Fire Station No. 6 is a single-story, approximately 10,700-square-foot facility. The existing station will be demolished and replaced with a new approximately 13,000-square-foot fire station. In addition, an approximately 2,600-square-foot reserve apparatus building will be constructed to house one truck and one engine. To maintain fire station operations during construction, an approximately 1,500-square-foot temporary modular building will be installed on-site. The temporary facility will include living and sleeping quarters, restrooms, office space, and storage.</w:t>
      </w:r>
    </w:p>
    <w:p>
      <w:pPr>
        <w:spacing w:after="0" w:line="244" w:lineRule="exact"/>
        <w:rPr>
          <w:sz w:val="20"/>
          <w:szCs w:val="20"/>
          <w:color w:val="auto"/>
        </w:rPr>
      </w:pPr>
    </w:p>
    <w:p>
      <w:pPr>
        <w:spacing w:after="0"/>
        <w:rPr>
          <w:sz w:val="20"/>
          <w:szCs w:val="20"/>
          <w:color w:val="auto"/>
        </w:rPr>
      </w:pPr>
      <w:r>
        <w:rPr>
          <w:rFonts w:ascii="Arial" w:cs="Arial" w:eastAsia="Arial" w:hAnsi="Arial"/>
          <w:sz w:val="22"/>
          <w:szCs w:val="22"/>
          <w:color w:val="auto"/>
        </w:rPr>
        <w:t>The Planning Commission is the final review authority for this project.</w:t>
      </w:r>
    </w:p>
    <w:p>
      <w:pPr>
        <w:spacing w:after="0" w:line="249" w:lineRule="exact"/>
        <w:rPr>
          <w:sz w:val="20"/>
          <w:szCs w:val="20"/>
          <w:color w:val="auto"/>
        </w:rPr>
      </w:pPr>
    </w:p>
    <w:p>
      <w:pPr>
        <w:spacing w:after="0"/>
        <w:rPr>
          <w:sz w:val="20"/>
          <w:szCs w:val="20"/>
          <w:color w:val="auto"/>
        </w:rPr>
      </w:pPr>
      <w:r>
        <w:rPr>
          <w:rFonts w:ascii="Arial" w:cs="Arial" w:eastAsia="Arial" w:hAnsi="Arial"/>
          <w:sz w:val="22"/>
          <w:szCs w:val="22"/>
          <w:b w:val="1"/>
          <w:bCs w:val="1"/>
          <w:u w:val="single" w:color="auto"/>
          <w:color w:val="auto"/>
        </w:rPr>
        <w:t>DISCUSSION</w:t>
      </w:r>
    </w:p>
    <w:p>
      <w:pPr>
        <w:spacing w:after="0" w:line="323" w:lineRule="exact"/>
        <w:rPr>
          <w:sz w:val="20"/>
          <w:szCs w:val="20"/>
          <w:color w:val="auto"/>
        </w:rPr>
      </w:pPr>
    </w:p>
    <w:p>
      <w:pPr>
        <w:spacing w:after="0"/>
        <w:rPr>
          <w:sz w:val="20"/>
          <w:szCs w:val="20"/>
          <w:color w:val="auto"/>
        </w:rPr>
      </w:pPr>
      <w:r>
        <w:rPr>
          <w:rFonts w:ascii="Arial" w:cs="Arial" w:eastAsia="Arial" w:hAnsi="Arial"/>
          <w:sz w:val="22"/>
          <w:szCs w:val="22"/>
          <w:b w:val="1"/>
          <w:bCs w:val="1"/>
          <w:u w:val="single" w:color="auto"/>
          <w:color w:val="auto"/>
        </w:rPr>
        <w:t>PROJECT DESCRIPTION</w:t>
      </w:r>
    </w:p>
    <w:p>
      <w:pPr>
        <w:spacing w:after="0" w:line="325" w:lineRule="exact"/>
        <w:rPr>
          <w:sz w:val="20"/>
          <w:szCs w:val="20"/>
          <w:color w:val="auto"/>
        </w:rPr>
      </w:pPr>
    </w:p>
    <w:p>
      <w:pPr>
        <w:ind w:right="180"/>
        <w:spacing w:after="0" w:line="335" w:lineRule="auto"/>
        <w:rPr>
          <w:sz w:val="20"/>
          <w:szCs w:val="20"/>
          <w:color w:val="auto"/>
        </w:rPr>
      </w:pPr>
      <w:r>
        <w:rPr>
          <w:rFonts w:ascii="Arial" w:cs="Arial" w:eastAsia="Arial" w:hAnsi="Arial"/>
          <w:sz w:val="21"/>
          <w:szCs w:val="21"/>
          <w:color w:val="auto"/>
        </w:rPr>
        <w:t>On January 16, 2026, the City of Livermore (City) initiated an application for a Site Plan Design Review and Conditional Use Permit for the reconstruction of Fire Station No. 6, located at 4550 East Avenue.</w:t>
      </w:r>
    </w:p>
    <w:p>
      <w:pPr>
        <w:spacing w:after="0" w:line="190" w:lineRule="exact"/>
        <w:rPr>
          <w:sz w:val="20"/>
          <w:szCs w:val="20"/>
          <w:color w:val="auto"/>
        </w:rPr>
      </w:pPr>
    </w:p>
    <w:p>
      <w:pPr>
        <w:ind w:right="40"/>
        <w:spacing w:after="0" w:line="311" w:lineRule="auto"/>
        <w:rPr>
          <w:sz w:val="20"/>
          <w:szCs w:val="20"/>
          <w:color w:val="auto"/>
        </w:rPr>
      </w:pPr>
      <w:r>
        <w:rPr>
          <w:rFonts w:ascii="Arial" w:cs="Arial" w:eastAsia="Arial" w:hAnsi="Arial"/>
          <w:sz w:val="21"/>
          <w:szCs w:val="21"/>
          <w:color w:val="auto"/>
        </w:rPr>
        <w:t>The existing fire station was originally constructed in 1976 as a single-story facility totaling approximately 8,200 square feet. Subsequent additions expanded the building to its current size of approximately 10,700 square feet. As the oldest fire station in Livermore, the building requires replacement to:</w:t>
      </w:r>
    </w:p>
    <w:p>
      <w:pPr>
        <w:spacing w:after="0" w:line="213" w:lineRule="exact"/>
        <w:rPr>
          <w:sz w:val="20"/>
          <w:szCs w:val="20"/>
          <w:color w:val="auto"/>
        </w:rPr>
      </w:pPr>
    </w:p>
    <w:p>
      <w:pPr>
        <w:ind w:left="600" w:right="3680"/>
        <w:spacing w:after="0" w:line="287" w:lineRule="auto"/>
        <w:rPr>
          <w:sz w:val="20"/>
          <w:szCs w:val="20"/>
          <w:color w:val="auto"/>
        </w:rPr>
      </w:pPr>
      <w:r>
        <w:rPr>
          <w:rFonts w:ascii="Arial" w:cs="Arial" w:eastAsia="Arial" w:hAnsi="Arial"/>
          <w:sz w:val="21"/>
          <w:szCs w:val="21"/>
          <w:color w:val="auto"/>
        </w:rPr>
        <w:t>be compliant with the Americans with Disabilities Act (ADA); meet California’s Essential Services Building requirements;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243840</wp:posOffset>
            </wp:positionH>
            <wp:positionV relativeFrom="paragraph">
              <wp:posOffset>-285115</wp:posOffset>
            </wp:positionV>
            <wp:extent cx="5334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extLst>
                    </a:blip>
                    <a:srcRect/>
                    <a:stretch>
                      <a:fillRect/>
                    </a:stretch>
                  </pic:blipFill>
                  <pic:spPr bwMode="auto">
                    <a:xfrm>
                      <a:off x="0" y="0"/>
                      <a:ext cx="53340" cy="53340"/>
                    </a:xfrm>
                    <a:prstGeom prst="rect">
                      <a:avLst/>
                    </a:prstGeom>
                    <a:noFill/>
                  </pic:spPr>
                </pic:pic>
              </a:graphicData>
            </a:graphic>
          </wp:anchor>
        </w:drawing>
        <w:drawing>
          <wp:anchor simplePos="0" relativeHeight="251657728" behindDoc="1" locked="0" layoutInCell="0" allowOverlap="1">
            <wp:simplePos x="0" y="0"/>
            <wp:positionH relativeFrom="column">
              <wp:posOffset>243840</wp:posOffset>
            </wp:positionH>
            <wp:positionV relativeFrom="paragraph">
              <wp:posOffset>-102235</wp:posOffset>
            </wp:positionV>
            <wp:extent cx="53340" cy="533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spacing w:after="0" w:line="273" w:lineRule="auto"/>
        <w:rPr>
          <w:sz w:val="20"/>
          <w:szCs w:val="20"/>
          <w:color w:val="auto"/>
        </w:rPr>
      </w:pPr>
      <w:r>
        <w:rPr>
          <w:rFonts w:ascii="Arial" w:cs="Arial" w:eastAsia="Arial" w:hAnsi="Arial"/>
          <w:sz w:val="22"/>
          <w:szCs w:val="22"/>
          <w:color w:val="auto"/>
        </w:rPr>
        <w:t>reconfigure decontamination areas to reduce potential exposure of firefighters, staff, and visitors to hazardous contaminants;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243840</wp:posOffset>
            </wp:positionH>
            <wp:positionV relativeFrom="paragraph">
              <wp:posOffset>-285750</wp:posOffset>
            </wp:positionV>
            <wp:extent cx="53340" cy="533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right="2400"/>
        <w:spacing w:after="0" w:line="273" w:lineRule="auto"/>
        <w:rPr>
          <w:sz w:val="20"/>
          <w:szCs w:val="20"/>
          <w:color w:val="auto"/>
        </w:rPr>
      </w:pPr>
      <w:r>
        <w:rPr>
          <w:rFonts w:ascii="Arial" w:cs="Arial" w:eastAsia="Arial" w:hAnsi="Arial"/>
          <w:sz w:val="22"/>
          <w:szCs w:val="22"/>
          <w:color w:val="auto"/>
        </w:rPr>
        <w:t>enhance the visitor experience associated with the Centennial Light Bulb; improve firefighter living and sleeping quarters;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243840</wp:posOffset>
            </wp:positionH>
            <wp:positionV relativeFrom="paragraph">
              <wp:posOffset>-285750</wp:posOffset>
            </wp:positionV>
            <wp:extent cx="53340" cy="533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extLst>
                    </a:blip>
                    <a:srcRect/>
                    <a:stretch>
                      <a:fillRect/>
                    </a:stretch>
                  </pic:blipFill>
                  <pic:spPr bwMode="auto">
                    <a:xfrm>
                      <a:off x="0" y="0"/>
                      <a:ext cx="53340" cy="53340"/>
                    </a:xfrm>
                    <a:prstGeom prst="rect">
                      <a:avLst/>
                    </a:prstGeom>
                    <a:noFill/>
                  </pic:spPr>
                </pic:pic>
              </a:graphicData>
            </a:graphic>
          </wp:anchor>
        </w:drawing>
        <w:drawing>
          <wp:anchor simplePos="0" relativeHeight="251657728" behindDoc="1" locked="0" layoutInCell="0" allowOverlap="1">
            <wp:simplePos x="0" y="0"/>
            <wp:positionH relativeFrom="column">
              <wp:posOffset>243840</wp:posOffset>
            </wp:positionH>
            <wp:positionV relativeFrom="paragraph">
              <wp:posOffset>-102870</wp:posOffset>
            </wp:positionV>
            <wp:extent cx="53340" cy="533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ind w:left="600" w:right="1800"/>
        <w:spacing w:after="0" w:line="289" w:lineRule="auto"/>
        <w:rPr>
          <w:sz w:val="20"/>
          <w:szCs w:val="20"/>
          <w:color w:val="auto"/>
        </w:rPr>
      </w:pPr>
      <w:r>
        <w:rPr>
          <w:rFonts w:ascii="Arial" w:cs="Arial" w:eastAsia="Arial" w:hAnsi="Arial"/>
          <w:sz w:val="22"/>
          <w:szCs w:val="22"/>
          <w:color w:val="auto"/>
        </w:rPr>
        <w:t>incorporate modern sustainability measures and advanced technology features; modernize the facility to support current operational needs; and provide adequate equipment and vehicle storage.</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243840</wp:posOffset>
            </wp:positionH>
            <wp:positionV relativeFrom="paragraph">
              <wp:posOffset>-501015</wp:posOffset>
            </wp:positionV>
            <wp:extent cx="5334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extLst>
                    </a:blip>
                    <a:srcRect/>
                    <a:stretch>
                      <a:fillRect/>
                    </a:stretch>
                  </pic:blipFill>
                  <pic:spPr bwMode="auto">
                    <a:xfrm>
                      <a:off x="0" y="0"/>
                      <a:ext cx="53340" cy="53340"/>
                    </a:xfrm>
                    <a:prstGeom prst="rect">
                      <a:avLst/>
                    </a:prstGeom>
                    <a:noFill/>
                  </pic:spPr>
                </pic:pic>
              </a:graphicData>
            </a:graphic>
          </wp:anchor>
        </w:drawing>
        <w:drawing>
          <wp:anchor simplePos="0" relativeHeight="251657728" behindDoc="1" locked="0" layoutInCell="0" allowOverlap="1">
            <wp:simplePos x="0" y="0"/>
            <wp:positionH relativeFrom="column">
              <wp:posOffset>243840</wp:posOffset>
            </wp:positionH>
            <wp:positionV relativeFrom="paragraph">
              <wp:posOffset>-318135</wp:posOffset>
            </wp:positionV>
            <wp:extent cx="53340" cy="533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extLst>
                    </a:blip>
                    <a:srcRect/>
                    <a:stretch>
                      <a:fillRect/>
                    </a:stretch>
                  </pic:blipFill>
                  <pic:spPr bwMode="auto">
                    <a:xfrm>
                      <a:off x="0" y="0"/>
                      <a:ext cx="53340" cy="53340"/>
                    </a:xfrm>
                    <a:prstGeom prst="rect">
                      <a:avLst/>
                    </a:prstGeom>
                    <a:noFill/>
                  </pic:spPr>
                </pic:pic>
              </a:graphicData>
            </a:graphic>
          </wp:anchor>
        </w:drawing>
        <w:drawing>
          <wp:anchor simplePos="0" relativeHeight="251657728" behindDoc="1" locked="0" layoutInCell="0" allowOverlap="1">
            <wp:simplePos x="0" y="0"/>
            <wp:positionH relativeFrom="column">
              <wp:posOffset>243840</wp:posOffset>
            </wp:positionH>
            <wp:positionV relativeFrom="paragraph">
              <wp:posOffset>-135255</wp:posOffset>
            </wp:positionV>
            <wp:extent cx="53340" cy="533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extLst>
                    </a:blip>
                    <a:srcRect/>
                    <a:stretch>
                      <a:fillRect/>
                    </a:stretch>
                  </pic:blipFill>
                  <pic:spPr bwMode="auto">
                    <a:xfrm>
                      <a:off x="0" y="0"/>
                      <a:ext cx="53340" cy="53340"/>
                    </a:xfrm>
                    <a:prstGeom prst="rect">
                      <a:avLst/>
                    </a:prstGeom>
                    <a:noFill/>
                  </pic:spPr>
                </pic:pic>
              </a:graphicData>
            </a:graphic>
          </wp:anchor>
        </w:drawing>
      </w:r>
    </w:p>
    <w:p>
      <w:pPr>
        <w:spacing w:after="0" w:line="215" w:lineRule="exact"/>
        <w:rPr>
          <w:sz w:val="20"/>
          <w:szCs w:val="20"/>
          <w:color w:val="auto"/>
        </w:rPr>
      </w:pPr>
    </w:p>
    <w:p>
      <w:pPr>
        <w:spacing w:after="0" w:line="278" w:lineRule="auto"/>
        <w:rPr>
          <w:sz w:val="20"/>
          <w:szCs w:val="20"/>
          <w:color w:val="auto"/>
        </w:rPr>
      </w:pPr>
      <w:r>
        <w:rPr>
          <w:rFonts w:ascii="Arial" w:cs="Arial" w:eastAsia="Arial" w:hAnsi="Arial"/>
          <w:sz w:val="22"/>
          <w:szCs w:val="22"/>
          <w:color w:val="auto"/>
        </w:rPr>
        <w:t>The project includes the demolition of the existing Fire Station No. 6 and construction of a new approximately 13,000-square-foot single-story fire station, a 2,600-square-foot reserve apparatus building, and associated site improvements. Proposed site improvements include new landscape, fences and walls, public and private parking, space for public art, and new public parking and bike spaces, as described below. The project also includes the installation of a 1,500 square-foot temporary modular building to serve as fire personnel living and sleeping quarters during construction. Additionally, protective measures and relocation procedures will be implemented to relocate the Centennial Light Bulb on a temporary basis until it is installed in the new fire station.</w:t>
      </w:r>
    </w:p>
    <w:p>
      <w:pPr>
        <w:spacing w:after="0" w:line="248" w:lineRule="exact"/>
        <w:rPr>
          <w:sz w:val="20"/>
          <w:szCs w:val="20"/>
          <w:color w:val="auto"/>
        </w:rPr>
      </w:pPr>
    </w:p>
    <w:p>
      <w:pPr>
        <w:ind w:right="220"/>
        <w:spacing w:after="0" w:line="282" w:lineRule="auto"/>
        <w:rPr>
          <w:sz w:val="20"/>
          <w:szCs w:val="20"/>
          <w:color w:val="auto"/>
        </w:rPr>
      </w:pPr>
      <w:r>
        <w:rPr>
          <w:rFonts w:ascii="Arial" w:cs="Arial" w:eastAsia="Arial" w:hAnsi="Arial"/>
          <w:sz w:val="22"/>
          <w:szCs w:val="22"/>
          <w:color w:val="auto"/>
        </w:rPr>
        <w:t>The new fire station will include an apparatus bay, decontamination area, office space, living and sleeping quarters, a fitness room, multi-purpose room for internal use, and a dedicated display area for the Centennial Light Bulb. The facility will continue to serve as a venue for LPFD training events. The project also includes the addition of one fire station personnel position, bringing the total onsite staff to five.</w:t>
      </w:r>
    </w:p>
    <w:p>
      <w:pPr>
        <w:spacing w:after="0" w:line="242" w:lineRule="exact"/>
        <w:rPr>
          <w:sz w:val="20"/>
          <w:szCs w:val="20"/>
          <w:color w:val="auto"/>
        </w:rPr>
      </w:pPr>
    </w:p>
    <w:p>
      <w:pPr>
        <w:ind w:right="120"/>
        <w:spacing w:after="0" w:line="335" w:lineRule="auto"/>
        <w:rPr>
          <w:sz w:val="20"/>
          <w:szCs w:val="20"/>
          <w:color w:val="auto"/>
        </w:rPr>
      </w:pPr>
      <w:r>
        <w:rPr>
          <w:rFonts w:ascii="Arial" w:cs="Arial" w:eastAsia="Arial" w:hAnsi="Arial"/>
          <w:sz w:val="21"/>
          <w:szCs w:val="21"/>
          <w:color w:val="auto"/>
        </w:rPr>
        <w:t>The project will be constructed in phases to ensure continuity of fire operations throughout construction. The first phase will involve construction of the reserve apparatus building at the rear of the site and the</w:t>
      </w:r>
    </w:p>
    <w:p>
      <w:pPr>
        <w:sectPr>
          <w:pgSz w:w="12240" w:h="15840" w:orient="portrait"/>
          <w:cols w:equalWidth="0" w:num="1">
            <w:col w:w="10000"/>
          </w:cols>
          <w:pgMar w:left="1080" w:top="825" w:right="1160" w:bottom="602" w:gutter="0" w:footer="0" w:header="0"/>
        </w:sectPr>
      </w:pPr>
    </w:p>
    <w:p>
      <w:pPr>
        <w:ind w:right="780"/>
        <w:spacing w:after="0" w:line="308" w:lineRule="auto"/>
        <w:rPr>
          <w:sz w:val="20"/>
          <w:szCs w:val="20"/>
          <w:color w:val="auto"/>
        </w:rPr>
      </w:pPr>
      <w:r>
        <w:rPr>
          <w:rFonts w:ascii="Arial" w:cs="Arial" w:eastAsia="Arial" w:hAnsi="Arial"/>
          <w:sz w:val="22"/>
          <w:szCs w:val="22"/>
          <w:color w:val="auto"/>
        </w:rPr>
        <w:t>northern portion of the new cement masonry perimeter wall. During this phase, fire personnel will continue to operate from the existing fire station.</w:t>
      </w:r>
    </w:p>
    <w:p>
      <w:pPr>
        <w:spacing w:after="0" w:line="213" w:lineRule="exact"/>
        <w:rPr>
          <w:sz w:val="20"/>
          <w:szCs w:val="20"/>
          <w:color w:val="auto"/>
        </w:rPr>
      </w:pPr>
    </w:p>
    <w:p>
      <w:pPr>
        <w:spacing w:after="0" w:line="277" w:lineRule="auto"/>
        <w:rPr>
          <w:sz w:val="20"/>
          <w:szCs w:val="20"/>
          <w:color w:val="auto"/>
        </w:rPr>
      </w:pPr>
      <w:r>
        <w:rPr>
          <w:rFonts w:ascii="Arial" w:cs="Arial" w:eastAsia="Arial" w:hAnsi="Arial"/>
          <w:sz w:val="22"/>
          <w:szCs w:val="22"/>
          <w:color w:val="auto"/>
        </w:rPr>
        <w:t>Once the reserve apparatus building is complete, a temporary modular building will be placed on site to provide temporary living and sleeping quarters and office space for fire personnel during construction of the new station. Two temporary storage sheds will also be placed on site during this phase of construction to accommodate the storage of tools and equipment. The Centennial Light Bulb will then be temporarily relocated to the reserve apparatus building, and fire personnel will relocate to the temporary modular building. At that time, the existing fire station will be demolished, and construction of the new fire station will begin. Following completion of the new fire station building, fire station personnel will move into the new fire station, and the temporary modular building and storage sheds will be removed from the property.</w:t>
      </w:r>
    </w:p>
    <w:p>
      <w:pPr>
        <w:spacing w:after="0" w:line="252"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Centennial Light Bulb</w:t>
      </w:r>
    </w:p>
    <w:p>
      <w:pPr>
        <w:spacing w:after="0" w:line="323" w:lineRule="exact"/>
        <w:rPr>
          <w:sz w:val="20"/>
          <w:szCs w:val="20"/>
          <w:color w:val="auto"/>
        </w:rPr>
      </w:pPr>
    </w:p>
    <w:p>
      <w:pPr>
        <w:jc w:val="both"/>
        <w:ind w:right="80"/>
        <w:spacing w:after="0" w:line="282" w:lineRule="auto"/>
        <w:rPr>
          <w:sz w:val="20"/>
          <w:szCs w:val="20"/>
          <w:color w:val="auto"/>
        </w:rPr>
      </w:pPr>
      <w:r>
        <w:rPr>
          <w:rFonts w:ascii="Arial" w:cs="Arial" w:eastAsia="Arial" w:hAnsi="Arial"/>
          <w:sz w:val="22"/>
          <w:szCs w:val="22"/>
          <w:color w:val="auto"/>
        </w:rPr>
        <w:t>The Centennial Light Bulb has been burning since 1901 and is recognized by Guinness World Records as the world's longest-burning light bulb. The Centennial Light Bulb is a hand-blown bulb with a carbon filament, manufactured by the Shelby Electric Company of Ohio. The light bulb was donated in 1901 by Dennis Bernal, owner of the Livermore Power and Light Company, and was originally installed in the fire department's hose cart house on L Street that same year.</w:t>
      </w:r>
    </w:p>
    <w:p>
      <w:pPr>
        <w:spacing w:after="0" w:line="242" w:lineRule="exact"/>
        <w:rPr>
          <w:sz w:val="20"/>
          <w:szCs w:val="20"/>
          <w:color w:val="auto"/>
        </w:rPr>
      </w:pPr>
    </w:p>
    <w:p>
      <w:pPr>
        <w:ind w:right="180"/>
        <w:spacing w:after="0" w:line="282" w:lineRule="auto"/>
        <w:rPr>
          <w:sz w:val="20"/>
          <w:szCs w:val="20"/>
          <w:color w:val="auto"/>
        </w:rPr>
      </w:pPr>
      <w:r>
        <w:rPr>
          <w:rFonts w:ascii="Arial" w:cs="Arial" w:eastAsia="Arial" w:hAnsi="Arial"/>
          <w:sz w:val="22"/>
          <w:szCs w:val="22"/>
          <w:color w:val="auto"/>
        </w:rPr>
        <w:t>Since its original installation, the light bulb has been relocated three times, most recently to Fire Station No. 6 in 1976. During these relocations, it was temporarily turned off. In addition, the light bulb was turned off for approximately one week in 1937 during the renovation of Fire Station 1, then located at First Street and McLeod Street. Most recently, the light bulb was off for over 9 hours during a power outage in 2013.</w:t>
      </w:r>
    </w:p>
    <w:p>
      <w:pPr>
        <w:spacing w:after="0" w:line="242" w:lineRule="exact"/>
        <w:rPr>
          <w:sz w:val="20"/>
          <w:szCs w:val="20"/>
          <w:color w:val="auto"/>
        </w:rPr>
      </w:pPr>
    </w:p>
    <w:p>
      <w:pPr>
        <w:spacing w:after="0" w:line="280" w:lineRule="auto"/>
        <w:rPr>
          <w:sz w:val="20"/>
          <w:szCs w:val="20"/>
          <w:color w:val="auto"/>
        </w:rPr>
      </w:pPr>
      <w:r>
        <w:rPr>
          <w:rFonts w:ascii="Arial" w:cs="Arial" w:eastAsia="Arial" w:hAnsi="Arial"/>
          <w:sz w:val="22"/>
          <w:szCs w:val="22"/>
          <w:color w:val="auto"/>
        </w:rPr>
        <w:t>The Centennial Light Bulb is an important part of the City of Livermore's local history but is not formally designated as a historic resource. Furthermore, the proposed relocation of the light bulb does not constitute an alteration to a potential historic resource as described in Livermore Development Code Section 9.02.020. The light bulb has been relocated previously, and its relocation as part of the proposed project will not affect any potential character-defining features or compromise its integrity. Therefore, a Certificate of Appropriateness is not required for the proposed relocation of the light bulb.</w:t>
      </w:r>
    </w:p>
    <w:p>
      <w:pPr>
        <w:spacing w:after="0" w:line="245" w:lineRule="exact"/>
        <w:rPr>
          <w:sz w:val="20"/>
          <w:szCs w:val="20"/>
          <w:color w:val="auto"/>
        </w:rPr>
      </w:pPr>
    </w:p>
    <w:p>
      <w:pPr>
        <w:spacing w:after="0" w:line="279" w:lineRule="auto"/>
        <w:rPr>
          <w:sz w:val="20"/>
          <w:szCs w:val="20"/>
          <w:color w:val="auto"/>
        </w:rPr>
      </w:pPr>
      <w:r>
        <w:rPr>
          <w:rFonts w:ascii="Arial" w:cs="Arial" w:eastAsia="Arial" w:hAnsi="Arial"/>
          <w:sz w:val="22"/>
          <w:szCs w:val="22"/>
          <w:color w:val="auto"/>
        </w:rPr>
        <w:t>A relocation and protection plan will be developed in advance of relocating the light bulb to the reserve apparatus building and back to the new fire station building. The relocation and protection plan will include considerations from retired Deputy Fire Chief Tom Bramell, who serves on the Centennial Light Bulb Committee. Tentative protection measures include protecting the light bulb from vibration, impact, and construction activity, and maintaining minimal power disruption during each move. The specific handling, temporary power, and protection details are still being developed. Therefore, staff recommends the following condition of approval:</w:t>
      </w:r>
    </w:p>
    <w:p>
      <w:pPr>
        <w:spacing w:after="0" w:line="245" w:lineRule="exact"/>
        <w:rPr>
          <w:sz w:val="20"/>
          <w:szCs w:val="20"/>
          <w:color w:val="auto"/>
        </w:rPr>
      </w:pPr>
    </w:p>
    <w:p>
      <w:pPr>
        <w:ind w:right="300"/>
        <w:spacing w:after="0" w:line="309" w:lineRule="auto"/>
        <w:rPr>
          <w:sz w:val="20"/>
          <w:szCs w:val="20"/>
          <w:color w:val="auto"/>
        </w:rPr>
      </w:pPr>
      <w:r>
        <w:rPr>
          <w:rFonts w:ascii="Arial" w:cs="Arial" w:eastAsia="Arial" w:hAnsi="Arial"/>
          <w:sz w:val="22"/>
          <w:szCs w:val="22"/>
          <w:u w:val="single" w:color="auto"/>
          <w:color w:val="auto"/>
        </w:rPr>
        <w:t>Recommended condition:</w:t>
      </w:r>
      <w:r>
        <w:rPr>
          <w:rFonts w:ascii="Arial" w:cs="Arial" w:eastAsia="Arial" w:hAnsi="Arial"/>
          <w:sz w:val="22"/>
          <w:szCs w:val="22"/>
          <w:color w:val="auto"/>
        </w:rPr>
        <w:t xml:space="preserve"> Prior to issuance of a Demolition Permit, City staff shall review and approve the Centennial Light Bulb relocation plan.</w:t>
      </w:r>
    </w:p>
    <w:p>
      <w:pPr>
        <w:spacing w:after="0" w:line="213" w:lineRule="exact"/>
        <w:rPr>
          <w:sz w:val="20"/>
          <w:szCs w:val="20"/>
          <w:color w:val="auto"/>
        </w:rPr>
      </w:pPr>
    </w:p>
    <w:p>
      <w:pPr>
        <w:ind w:right="60"/>
        <w:spacing w:after="0" w:line="311" w:lineRule="auto"/>
        <w:rPr>
          <w:sz w:val="20"/>
          <w:szCs w:val="20"/>
          <w:color w:val="auto"/>
        </w:rPr>
      </w:pPr>
      <w:r>
        <w:rPr>
          <w:rFonts w:ascii="Arial" w:cs="Arial" w:eastAsia="Arial" w:hAnsi="Arial"/>
          <w:sz w:val="21"/>
          <w:szCs w:val="21"/>
          <w:color w:val="auto"/>
        </w:rPr>
        <w:t>The Centennial Light Bulb will not be available for public viewing while it is housed in the reserve apparatus building. The project site will be under construction, making it unsafe for members of the public to access the site. Staff is working to install a camera in the reserve apparatus building so that the</w:t>
      </w:r>
    </w:p>
    <w:p>
      <w:pPr>
        <w:sectPr>
          <w:pgSz w:w="12240" w:h="15840" w:orient="portrait"/>
          <w:cols w:equalWidth="0" w:num="1">
            <w:col w:w="10000"/>
          </w:cols>
          <w:pgMar w:left="1080" w:top="825" w:right="1160" w:bottom="553" w:gutter="0" w:footer="0" w:header="0"/>
        </w:sectPr>
      </w:pPr>
    </w:p>
    <w:p>
      <w:pPr>
        <w:ind w:right="20"/>
        <w:spacing w:after="0" w:line="291" w:lineRule="auto"/>
        <w:rPr>
          <w:sz w:val="20"/>
          <w:szCs w:val="20"/>
          <w:color w:val="auto"/>
        </w:rPr>
      </w:pPr>
      <w:r>
        <w:rPr>
          <w:rFonts w:ascii="Arial" w:cs="Arial" w:eastAsia="Arial" w:hAnsi="Arial"/>
          <w:sz w:val="22"/>
          <w:szCs w:val="22"/>
          <w:color w:val="auto"/>
        </w:rPr>
        <w:t>Centennial Light Bulb can continue to be viewed through a live webcam feed. It is anticipated that the Centennial Light Bulb will be housed in the reserve apparatus building for approximately 15 to 16 months while the new fire station is under construction.</w:t>
      </w:r>
    </w:p>
    <w:p>
      <w:pPr>
        <w:spacing w:after="0" w:line="232" w:lineRule="exact"/>
        <w:rPr>
          <w:sz w:val="20"/>
          <w:szCs w:val="20"/>
          <w:color w:val="auto"/>
        </w:rPr>
      </w:pPr>
    </w:p>
    <w:p>
      <w:pPr>
        <w:ind w:right="140"/>
        <w:spacing w:after="0" w:line="302" w:lineRule="auto"/>
        <w:rPr>
          <w:sz w:val="20"/>
          <w:szCs w:val="20"/>
          <w:color w:val="auto"/>
        </w:rPr>
      </w:pPr>
      <w:r>
        <w:rPr>
          <w:rFonts w:ascii="Arial" w:cs="Arial" w:eastAsia="Arial" w:hAnsi="Arial"/>
          <w:sz w:val="21"/>
          <w:szCs w:val="21"/>
          <w:color w:val="auto"/>
        </w:rPr>
        <w:t>Once the fire station is complete, the Centennial Light Bulb will be relocated to the new facility. The new station includes a dedicated public display area for the Centennial Light Bulb. While the specific design of the interior display space is still being finalized, it is anticipated to include the light bulb along with informational features presented through digital displays, wall plaques, and/or a display case.</w:t>
      </w:r>
    </w:p>
    <w:p>
      <w:pPr>
        <w:spacing w:after="0" w:line="223" w:lineRule="exact"/>
        <w:rPr>
          <w:sz w:val="20"/>
          <w:szCs w:val="20"/>
          <w:color w:val="auto"/>
        </w:rPr>
      </w:pPr>
    </w:p>
    <w:p>
      <w:pPr>
        <w:spacing w:after="0"/>
        <w:rPr>
          <w:sz w:val="20"/>
          <w:szCs w:val="20"/>
          <w:color w:val="auto"/>
        </w:rPr>
      </w:pPr>
      <w:r>
        <w:rPr>
          <w:rFonts w:ascii="Arial" w:cs="Arial" w:eastAsia="Arial" w:hAnsi="Arial"/>
          <w:sz w:val="22"/>
          <w:szCs w:val="22"/>
          <w:b w:val="1"/>
          <w:bCs w:val="1"/>
          <w:u w:val="single" w:color="auto"/>
          <w:color w:val="auto"/>
        </w:rPr>
        <w:t>PROJECT SITE CONTEXT</w:t>
      </w:r>
    </w:p>
    <w:p>
      <w:pPr>
        <w:spacing w:after="0" w:line="325" w:lineRule="exact"/>
        <w:rPr>
          <w:sz w:val="20"/>
          <w:szCs w:val="20"/>
          <w:color w:val="auto"/>
        </w:rPr>
      </w:pPr>
    </w:p>
    <w:p>
      <w:pPr>
        <w:ind w:right="40"/>
        <w:spacing w:after="0" w:line="279" w:lineRule="auto"/>
        <w:rPr>
          <w:sz w:val="20"/>
          <w:szCs w:val="20"/>
          <w:color w:val="auto"/>
        </w:rPr>
      </w:pPr>
      <w:r>
        <w:rPr>
          <w:rFonts w:ascii="Arial" w:cs="Arial" w:eastAsia="Arial" w:hAnsi="Arial"/>
          <w:sz w:val="22"/>
          <w:szCs w:val="22"/>
          <w:color w:val="auto"/>
        </w:rPr>
        <w:t>The project site occupies a portion of an approximately 9.04-acre parcel owned by the City of Livermore. Approximately 1.41 acres of the parcel are dedicated to Fire Station No. 6. The Livermore Area Recreation and Park District (LARPD) maintains the remainder of the property as part of the Robert Livermore Community Park, which includes community garden plots, a community center parking lot, and open field areas. For the purposes of this report, the "project" or "project site" refers only to the 1.41-acre portion of the parcel occupied by Fire Station No. 6. Refer to Attachment 1, Location Map, for an aerial image of the project site.</w:t>
      </w:r>
    </w:p>
    <w:p>
      <w:pPr>
        <w:spacing w:after="0" w:line="245" w:lineRule="exact"/>
        <w:rPr>
          <w:sz w:val="20"/>
          <w:szCs w:val="20"/>
          <w:color w:val="auto"/>
        </w:rPr>
      </w:pPr>
    </w:p>
    <w:p>
      <w:pPr>
        <w:ind w:right="260"/>
        <w:spacing w:after="0" w:line="282" w:lineRule="auto"/>
        <w:rPr>
          <w:sz w:val="20"/>
          <w:szCs w:val="20"/>
          <w:color w:val="auto"/>
        </w:rPr>
      </w:pPr>
      <w:r>
        <w:rPr>
          <w:rFonts w:ascii="Arial" w:cs="Arial" w:eastAsia="Arial" w:hAnsi="Arial"/>
          <w:sz w:val="22"/>
          <w:szCs w:val="22"/>
          <w:color w:val="auto"/>
        </w:rPr>
        <w:t>The project site is currently developed with the existing Fire Station No. 6. and associated accessory structures. Site access is provided by two driveways from Loyola Way – one serving the public parking lot and the other providing access to the rear of the fire station building – and one driveway from East Avenue that provides direct access to the fire station apparatus bay. The project site currently has 7 public parking spaces and 16 personnel parking spaces.</w:t>
      </w:r>
    </w:p>
    <w:p>
      <w:pPr>
        <w:spacing w:after="0" w:line="242" w:lineRule="exact"/>
        <w:rPr>
          <w:sz w:val="20"/>
          <w:szCs w:val="20"/>
          <w:color w:val="auto"/>
        </w:rPr>
      </w:pPr>
    </w:p>
    <w:p>
      <w:pPr>
        <w:ind w:right="760"/>
        <w:spacing w:after="0" w:line="309" w:lineRule="auto"/>
        <w:rPr>
          <w:sz w:val="20"/>
          <w:szCs w:val="20"/>
          <w:color w:val="auto"/>
        </w:rPr>
      </w:pPr>
      <w:r>
        <w:rPr>
          <w:rFonts w:ascii="Arial" w:cs="Arial" w:eastAsia="Arial" w:hAnsi="Arial"/>
          <w:sz w:val="22"/>
          <w:szCs w:val="22"/>
          <w:color w:val="auto"/>
        </w:rPr>
        <w:t>The following table summarizes the General Plan land use designation, zoning classification, and existing land uses on the subject site and surrounding properties:</w:t>
      </w:r>
    </w:p>
    <w:p>
      <w:pPr>
        <w:spacing w:after="0" w:line="213" w:lineRule="exact"/>
        <w:rPr>
          <w:sz w:val="20"/>
          <w:szCs w:val="20"/>
          <w:color w:val="auto"/>
        </w:rPr>
      </w:pPr>
    </w:p>
    <w:p>
      <w:pPr>
        <w:spacing w:after="0"/>
        <w:rPr>
          <w:sz w:val="20"/>
          <w:szCs w:val="20"/>
          <w:color w:val="auto"/>
        </w:rPr>
      </w:pPr>
      <w:r>
        <w:rPr>
          <w:rFonts w:ascii="Arial" w:cs="Arial" w:eastAsia="Arial" w:hAnsi="Arial"/>
          <w:sz w:val="22"/>
          <w:szCs w:val="22"/>
          <w:color w:val="auto"/>
        </w:rPr>
        <w:t>Table 1. Project Site Context</w:t>
      </w:r>
    </w:p>
    <w:p>
      <w:pPr>
        <w:spacing w:after="0" w:line="39" w:lineRule="exact"/>
        <w:rPr>
          <w:sz w:val="20"/>
          <w:szCs w:val="20"/>
          <w:color w:val="auto"/>
        </w:rPr>
      </w:pPr>
    </w:p>
    <w:tbl>
      <w:tblPr>
        <w:tblLayout w:type="fixed"/>
        <w:tblInd w:w="10" w:type="dxa"/>
        <w:tblCellMar>
          <w:top w:w="0" w:type="dxa"/>
          <w:left w:w="0" w:type="dxa"/>
          <w:bottom w:w="0" w:type="dxa"/>
          <w:right w:w="0" w:type="dxa"/>
        </w:tblCellMar>
      </w:tblPr>
      <w:tr>
        <w:trPr>
          <w:trHeight w:val="227"/>
        </w:trPr>
        <w:tc>
          <w:tcPr>
            <w:tcW w:w="1580" w:type="dxa"/>
            <w:vAlign w:val="bottom"/>
            <w:tcBorders>
              <w:top w:val="single" w:sz="8" w:color="2C2C2C"/>
              <w:left w:val="single" w:sz="8" w:color="2C2C2C"/>
              <w:right w:val="single" w:sz="8" w:color="808080"/>
            </w:tcBorders>
          </w:tcPr>
          <w:p>
            <w:pPr>
              <w:spacing w:after="0"/>
              <w:rPr>
                <w:sz w:val="19"/>
                <w:szCs w:val="19"/>
                <w:color w:val="auto"/>
              </w:rPr>
            </w:pPr>
          </w:p>
        </w:tc>
        <w:tc>
          <w:tcPr>
            <w:tcW w:w="3440" w:type="dxa"/>
            <w:vAlign w:val="bottom"/>
            <w:tcBorders>
              <w:top w:val="single" w:sz="8" w:color="2C2C2C"/>
              <w:right w:val="single" w:sz="8" w:color="808080"/>
            </w:tcBorders>
          </w:tcPr>
          <w:p>
            <w:pPr>
              <w:spacing w:after="0" w:line="226" w:lineRule="exact"/>
              <w:rPr>
                <w:sz w:val="20"/>
                <w:szCs w:val="20"/>
                <w:color w:val="auto"/>
              </w:rPr>
            </w:pPr>
            <w:r>
              <w:rPr>
                <w:rFonts w:ascii="Arial" w:cs="Arial" w:eastAsia="Arial" w:hAnsi="Arial"/>
                <w:sz w:val="22"/>
                <w:szCs w:val="22"/>
                <w:b w:val="1"/>
                <w:bCs w:val="1"/>
                <w:color w:val="auto"/>
              </w:rPr>
              <w:t>General Plan Land Use</w:t>
            </w:r>
          </w:p>
        </w:tc>
        <w:tc>
          <w:tcPr>
            <w:tcW w:w="2480" w:type="dxa"/>
            <w:vAlign w:val="bottom"/>
            <w:tcBorders>
              <w:top w:val="single" w:sz="8" w:color="2C2C2C"/>
              <w:right w:val="single" w:sz="8" w:color="808080"/>
            </w:tcBorders>
            <w:vMerge w:val="restart"/>
          </w:tcPr>
          <w:p>
            <w:pPr>
              <w:spacing w:after="0"/>
              <w:rPr>
                <w:sz w:val="20"/>
                <w:szCs w:val="20"/>
                <w:color w:val="auto"/>
              </w:rPr>
            </w:pPr>
            <w:r>
              <w:rPr>
                <w:rFonts w:ascii="Arial" w:cs="Arial" w:eastAsia="Arial" w:hAnsi="Arial"/>
                <w:sz w:val="22"/>
                <w:szCs w:val="22"/>
                <w:b w:val="1"/>
                <w:bCs w:val="1"/>
                <w:color w:val="auto"/>
              </w:rPr>
              <w:t>Zoning Classification</w:t>
            </w:r>
          </w:p>
        </w:tc>
        <w:tc>
          <w:tcPr>
            <w:tcW w:w="2540" w:type="dxa"/>
            <w:vAlign w:val="bottom"/>
            <w:tcBorders>
              <w:top w:val="single" w:sz="8" w:color="2C2C2C"/>
              <w:right w:val="single" w:sz="8" w:color="2C2C2C"/>
            </w:tcBorders>
            <w:vMerge w:val="restart"/>
          </w:tcPr>
          <w:p>
            <w:pPr>
              <w:ind w:left="20"/>
              <w:spacing w:after="0"/>
              <w:rPr>
                <w:sz w:val="20"/>
                <w:szCs w:val="20"/>
                <w:color w:val="auto"/>
              </w:rPr>
            </w:pPr>
            <w:r>
              <w:rPr>
                <w:rFonts w:ascii="Arial" w:cs="Arial" w:eastAsia="Arial" w:hAnsi="Arial"/>
                <w:sz w:val="22"/>
                <w:szCs w:val="22"/>
                <w:b w:val="1"/>
                <w:bCs w:val="1"/>
                <w:color w:val="auto"/>
              </w:rPr>
              <w:t>Existing Land Use</w:t>
            </w:r>
          </w:p>
        </w:tc>
        <w:tc>
          <w:tcPr>
            <w:tcW w:w="0" w:type="dxa"/>
            <w:vAlign w:val="bottom"/>
          </w:tcPr>
          <w:p>
            <w:pPr>
              <w:spacing w:after="0"/>
              <w:rPr>
                <w:sz w:val="1"/>
                <w:szCs w:val="1"/>
                <w:color w:val="auto"/>
              </w:rPr>
            </w:pPr>
          </w:p>
        </w:tc>
      </w:tr>
      <w:tr>
        <w:trPr>
          <w:trHeight w:val="173"/>
        </w:trPr>
        <w:tc>
          <w:tcPr>
            <w:tcW w:w="1580" w:type="dxa"/>
            <w:vAlign w:val="bottom"/>
            <w:tcBorders>
              <w:left w:val="single" w:sz="8" w:color="2C2C2C"/>
              <w:right w:val="single" w:sz="8" w:color="808080"/>
            </w:tcBorders>
          </w:tcPr>
          <w:p>
            <w:pPr>
              <w:spacing w:after="0"/>
              <w:rPr>
                <w:sz w:val="15"/>
                <w:szCs w:val="15"/>
                <w:color w:val="auto"/>
              </w:rPr>
            </w:pPr>
          </w:p>
        </w:tc>
        <w:tc>
          <w:tcPr>
            <w:tcW w:w="3440" w:type="dxa"/>
            <w:vAlign w:val="bottom"/>
            <w:tcBorders>
              <w:right w:val="single" w:sz="8" w:color="808080"/>
            </w:tcBorders>
            <w:vMerge w:val="restart"/>
          </w:tcPr>
          <w:p>
            <w:pPr>
              <w:spacing w:after="0"/>
              <w:rPr>
                <w:sz w:val="20"/>
                <w:szCs w:val="20"/>
                <w:color w:val="auto"/>
              </w:rPr>
            </w:pPr>
            <w:r>
              <w:rPr>
                <w:rFonts w:ascii="Arial" w:cs="Arial" w:eastAsia="Arial" w:hAnsi="Arial"/>
                <w:sz w:val="22"/>
                <w:szCs w:val="22"/>
                <w:b w:val="1"/>
                <w:bCs w:val="1"/>
                <w:color w:val="auto"/>
              </w:rPr>
              <w:t>Designation</w:t>
            </w:r>
          </w:p>
        </w:tc>
        <w:tc>
          <w:tcPr>
            <w:tcW w:w="2480" w:type="dxa"/>
            <w:vAlign w:val="bottom"/>
            <w:tcBorders>
              <w:right w:val="single" w:sz="8" w:color="808080"/>
            </w:tcBorders>
            <w:vMerge w:val="continue"/>
          </w:tcPr>
          <w:p>
            <w:pPr>
              <w:spacing w:after="0"/>
              <w:rPr>
                <w:sz w:val="15"/>
                <w:szCs w:val="15"/>
                <w:color w:val="auto"/>
              </w:rPr>
            </w:pPr>
          </w:p>
        </w:tc>
        <w:tc>
          <w:tcPr>
            <w:tcW w:w="2540" w:type="dxa"/>
            <w:vAlign w:val="bottom"/>
            <w:tcBorders>
              <w:right w:val="single" w:sz="8" w:color="2C2C2C"/>
            </w:tcBorders>
            <w:vMerge w:val="continue"/>
          </w:tcPr>
          <w:p>
            <w:pPr>
              <w:spacing w:after="0"/>
              <w:rPr>
                <w:sz w:val="15"/>
                <w:szCs w:val="15"/>
                <w:color w:val="auto"/>
              </w:rPr>
            </w:pPr>
          </w:p>
        </w:tc>
        <w:tc>
          <w:tcPr>
            <w:tcW w:w="0" w:type="dxa"/>
            <w:vAlign w:val="bottom"/>
          </w:tcPr>
          <w:p>
            <w:pPr>
              <w:spacing w:after="0"/>
              <w:rPr>
                <w:sz w:val="1"/>
                <w:szCs w:val="1"/>
                <w:color w:val="auto"/>
              </w:rPr>
            </w:pPr>
          </w:p>
        </w:tc>
      </w:tr>
      <w:tr>
        <w:trPr>
          <w:trHeight w:val="124"/>
        </w:trPr>
        <w:tc>
          <w:tcPr>
            <w:tcW w:w="1580" w:type="dxa"/>
            <w:vAlign w:val="bottom"/>
            <w:tcBorders>
              <w:left w:val="single" w:sz="8" w:color="2C2C2C"/>
              <w:bottom w:val="single" w:sz="8" w:color="808080"/>
              <w:right w:val="single" w:sz="8" w:color="808080"/>
            </w:tcBorders>
          </w:tcPr>
          <w:p>
            <w:pPr>
              <w:spacing w:after="0"/>
              <w:rPr>
                <w:sz w:val="10"/>
                <w:szCs w:val="10"/>
                <w:color w:val="auto"/>
              </w:rPr>
            </w:pPr>
          </w:p>
        </w:tc>
        <w:tc>
          <w:tcPr>
            <w:tcW w:w="3440" w:type="dxa"/>
            <w:vAlign w:val="bottom"/>
            <w:tcBorders>
              <w:bottom w:val="single" w:sz="8" w:color="808080"/>
              <w:right w:val="single" w:sz="8" w:color="808080"/>
            </w:tcBorders>
            <w:vMerge w:val="continue"/>
          </w:tcPr>
          <w:p>
            <w:pPr>
              <w:spacing w:after="0"/>
              <w:rPr>
                <w:sz w:val="10"/>
                <w:szCs w:val="10"/>
                <w:color w:val="auto"/>
              </w:rPr>
            </w:pPr>
          </w:p>
        </w:tc>
        <w:tc>
          <w:tcPr>
            <w:tcW w:w="2480" w:type="dxa"/>
            <w:vAlign w:val="bottom"/>
            <w:tcBorders>
              <w:bottom w:val="single" w:sz="8" w:color="808080"/>
              <w:right w:val="single" w:sz="8" w:color="808080"/>
            </w:tcBorders>
          </w:tcPr>
          <w:p>
            <w:pPr>
              <w:spacing w:after="0"/>
              <w:rPr>
                <w:sz w:val="10"/>
                <w:szCs w:val="10"/>
                <w:color w:val="auto"/>
              </w:rPr>
            </w:pPr>
          </w:p>
        </w:tc>
        <w:tc>
          <w:tcPr>
            <w:tcW w:w="2540" w:type="dxa"/>
            <w:vAlign w:val="bottom"/>
            <w:tcBorders>
              <w:bottom w:val="single" w:sz="8" w:color="808080"/>
              <w:right w:val="single" w:sz="8" w:color="2C2C2C"/>
            </w:tcBorders>
          </w:tcPr>
          <w:p>
            <w:pPr>
              <w:spacing w:after="0"/>
              <w:rPr>
                <w:sz w:val="10"/>
                <w:szCs w:val="10"/>
                <w:color w:val="auto"/>
              </w:rPr>
            </w:pPr>
          </w:p>
        </w:tc>
        <w:tc>
          <w:tcPr>
            <w:tcW w:w="0" w:type="dxa"/>
            <w:vAlign w:val="bottom"/>
          </w:tcPr>
          <w:p>
            <w:pPr>
              <w:spacing w:after="0"/>
              <w:rPr>
                <w:sz w:val="1"/>
                <w:szCs w:val="1"/>
                <w:color w:val="auto"/>
              </w:rPr>
            </w:pPr>
          </w:p>
        </w:tc>
      </w:tr>
      <w:tr>
        <w:trPr>
          <w:trHeight w:val="225"/>
        </w:trPr>
        <w:tc>
          <w:tcPr>
            <w:tcW w:w="1580" w:type="dxa"/>
            <w:vAlign w:val="bottom"/>
            <w:tcBorders>
              <w:left w:val="single" w:sz="8" w:color="2C2C2C"/>
              <w:right w:val="single" w:sz="8" w:color="808080"/>
            </w:tcBorders>
            <w:vMerge w:val="restart"/>
          </w:tcPr>
          <w:p>
            <w:pPr>
              <w:ind w:left="20"/>
              <w:spacing w:after="0"/>
              <w:rPr>
                <w:sz w:val="20"/>
                <w:szCs w:val="20"/>
                <w:color w:val="auto"/>
              </w:rPr>
            </w:pPr>
            <w:r>
              <w:rPr>
                <w:rFonts w:ascii="Arial" w:cs="Arial" w:eastAsia="Arial" w:hAnsi="Arial"/>
                <w:sz w:val="22"/>
                <w:szCs w:val="22"/>
                <w:b w:val="1"/>
                <w:bCs w:val="1"/>
                <w:color w:val="auto"/>
              </w:rPr>
              <w:t>North</w:t>
            </w:r>
          </w:p>
        </w:tc>
        <w:tc>
          <w:tcPr>
            <w:tcW w:w="3440" w:type="dxa"/>
            <w:vAlign w:val="bottom"/>
            <w:tcBorders>
              <w:right w:val="single" w:sz="8" w:color="808080"/>
            </w:tcBorders>
          </w:tcPr>
          <w:p>
            <w:pPr>
              <w:spacing w:after="0"/>
              <w:rPr>
                <w:sz w:val="19"/>
                <w:szCs w:val="19"/>
                <w:color w:val="auto"/>
              </w:rPr>
            </w:pPr>
          </w:p>
        </w:tc>
        <w:tc>
          <w:tcPr>
            <w:tcW w:w="2480" w:type="dxa"/>
            <w:vAlign w:val="bottom"/>
            <w:tcBorders>
              <w:right w:val="single" w:sz="8" w:color="808080"/>
            </w:tcBorders>
          </w:tcPr>
          <w:p>
            <w:pPr>
              <w:spacing w:after="0"/>
              <w:rPr>
                <w:sz w:val="19"/>
                <w:szCs w:val="19"/>
                <w:color w:val="auto"/>
              </w:rPr>
            </w:pPr>
          </w:p>
        </w:tc>
        <w:tc>
          <w:tcPr>
            <w:tcW w:w="2540" w:type="dxa"/>
            <w:vAlign w:val="bottom"/>
            <w:tcBorders>
              <w:right w:val="single" w:sz="8" w:color="2C2C2C"/>
            </w:tcBorders>
          </w:tcPr>
          <w:p>
            <w:pPr>
              <w:ind w:left="20"/>
              <w:spacing w:after="0" w:line="225" w:lineRule="exact"/>
              <w:rPr>
                <w:sz w:val="20"/>
                <w:szCs w:val="20"/>
                <w:color w:val="auto"/>
              </w:rPr>
            </w:pPr>
            <w:r>
              <w:rPr>
                <w:rFonts w:ascii="Arial" w:cs="Arial" w:eastAsia="Arial" w:hAnsi="Arial"/>
                <w:sz w:val="22"/>
                <w:szCs w:val="22"/>
                <w:color w:val="auto"/>
                <w:w w:val="98"/>
              </w:rPr>
              <w:t>Community Garden plots,</w:t>
            </w:r>
          </w:p>
        </w:tc>
        <w:tc>
          <w:tcPr>
            <w:tcW w:w="0" w:type="dxa"/>
            <w:vAlign w:val="bottom"/>
          </w:tcPr>
          <w:p>
            <w:pPr>
              <w:spacing w:after="0"/>
              <w:rPr>
                <w:sz w:val="1"/>
                <w:szCs w:val="1"/>
                <w:color w:val="auto"/>
              </w:rPr>
            </w:pPr>
          </w:p>
        </w:tc>
      </w:tr>
      <w:tr>
        <w:trPr>
          <w:trHeight w:val="252"/>
        </w:trPr>
        <w:tc>
          <w:tcPr>
            <w:tcW w:w="1580" w:type="dxa"/>
            <w:vAlign w:val="bottom"/>
            <w:tcBorders>
              <w:left w:val="single" w:sz="8" w:color="2C2C2C"/>
              <w:right w:val="single" w:sz="8" w:color="808080"/>
            </w:tcBorders>
            <w:vMerge w:val="continue"/>
          </w:tcPr>
          <w:p>
            <w:pPr>
              <w:spacing w:after="0"/>
              <w:rPr>
                <w:sz w:val="21"/>
                <w:szCs w:val="21"/>
                <w:color w:val="auto"/>
              </w:rPr>
            </w:pPr>
          </w:p>
        </w:tc>
        <w:tc>
          <w:tcPr>
            <w:tcW w:w="344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Open Space and Parks (OSP)</w:t>
            </w:r>
          </w:p>
        </w:tc>
        <w:tc>
          <w:tcPr>
            <w:tcW w:w="248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Education and Institution</w:t>
            </w:r>
          </w:p>
        </w:tc>
        <w:tc>
          <w:tcPr>
            <w:tcW w:w="2540" w:type="dxa"/>
            <w:vAlign w:val="bottom"/>
            <w:tcBorders>
              <w:right w:val="single" w:sz="8" w:color="2C2C2C"/>
            </w:tcBorders>
          </w:tcPr>
          <w:p>
            <w:pPr>
              <w:ind w:left="20"/>
              <w:spacing w:after="0"/>
              <w:rPr>
                <w:sz w:val="20"/>
                <w:szCs w:val="20"/>
                <w:color w:val="auto"/>
              </w:rPr>
            </w:pPr>
            <w:r>
              <w:rPr>
                <w:rFonts w:ascii="Arial" w:cs="Arial" w:eastAsia="Arial" w:hAnsi="Arial"/>
                <w:sz w:val="22"/>
                <w:szCs w:val="22"/>
                <w:color w:val="auto"/>
                <w:w w:val="97"/>
              </w:rPr>
              <w:t>parking lot, and open field</w:t>
            </w:r>
          </w:p>
        </w:tc>
        <w:tc>
          <w:tcPr>
            <w:tcW w:w="0" w:type="dxa"/>
            <w:vAlign w:val="bottom"/>
          </w:tcPr>
          <w:p>
            <w:pPr>
              <w:spacing w:after="0"/>
              <w:rPr>
                <w:sz w:val="1"/>
                <w:szCs w:val="1"/>
                <w:color w:val="auto"/>
              </w:rPr>
            </w:pPr>
          </w:p>
        </w:tc>
      </w:tr>
      <w:tr>
        <w:trPr>
          <w:trHeight w:val="293"/>
        </w:trPr>
        <w:tc>
          <w:tcPr>
            <w:tcW w:w="1580" w:type="dxa"/>
            <w:vAlign w:val="bottom"/>
            <w:tcBorders>
              <w:left w:val="single" w:sz="8" w:color="2C2C2C"/>
              <w:bottom w:val="single" w:sz="8" w:color="808080"/>
              <w:right w:val="single" w:sz="8" w:color="808080"/>
            </w:tcBorders>
          </w:tcPr>
          <w:p>
            <w:pPr>
              <w:spacing w:after="0"/>
              <w:rPr>
                <w:sz w:val="24"/>
                <w:szCs w:val="24"/>
                <w:color w:val="auto"/>
              </w:rPr>
            </w:pPr>
          </w:p>
        </w:tc>
        <w:tc>
          <w:tcPr>
            <w:tcW w:w="3440" w:type="dxa"/>
            <w:vAlign w:val="bottom"/>
            <w:tcBorders>
              <w:bottom w:val="single" w:sz="8" w:color="808080"/>
              <w:right w:val="single" w:sz="8" w:color="808080"/>
            </w:tcBorders>
          </w:tcPr>
          <w:p>
            <w:pPr>
              <w:spacing w:after="0"/>
              <w:rPr>
                <w:sz w:val="24"/>
                <w:szCs w:val="24"/>
                <w:color w:val="auto"/>
              </w:rPr>
            </w:pPr>
          </w:p>
        </w:tc>
        <w:tc>
          <w:tcPr>
            <w:tcW w:w="2480" w:type="dxa"/>
            <w:vAlign w:val="bottom"/>
            <w:tcBorders>
              <w:bottom w:val="single" w:sz="8" w:color="808080"/>
              <w:right w:val="single" w:sz="8" w:color="808080"/>
            </w:tcBorders>
          </w:tcPr>
          <w:p>
            <w:pPr>
              <w:spacing w:after="0"/>
              <w:rPr>
                <w:sz w:val="24"/>
                <w:szCs w:val="24"/>
                <w:color w:val="auto"/>
              </w:rPr>
            </w:pPr>
          </w:p>
        </w:tc>
        <w:tc>
          <w:tcPr>
            <w:tcW w:w="254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areas</w:t>
            </w:r>
          </w:p>
        </w:tc>
        <w:tc>
          <w:tcPr>
            <w:tcW w:w="0" w:type="dxa"/>
            <w:vAlign w:val="bottom"/>
          </w:tcPr>
          <w:p>
            <w:pPr>
              <w:spacing w:after="0"/>
              <w:rPr>
                <w:sz w:val="1"/>
                <w:szCs w:val="1"/>
                <w:color w:val="auto"/>
              </w:rPr>
            </w:pPr>
          </w:p>
        </w:tc>
      </w:tr>
      <w:tr>
        <w:trPr>
          <w:trHeight w:val="270"/>
        </w:trPr>
        <w:tc>
          <w:tcPr>
            <w:tcW w:w="1580" w:type="dxa"/>
            <w:vAlign w:val="bottom"/>
            <w:tcBorders>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b w:val="1"/>
                <w:bCs w:val="1"/>
                <w:color w:val="auto"/>
              </w:rPr>
              <w:t>South</w:t>
            </w:r>
          </w:p>
        </w:tc>
        <w:tc>
          <w:tcPr>
            <w:tcW w:w="344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Low Density Residential 2 (LDR 2)</w:t>
            </w:r>
          </w:p>
        </w:tc>
        <w:tc>
          <w:tcPr>
            <w:tcW w:w="248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Suburban Residential</w:t>
            </w:r>
          </w:p>
        </w:tc>
        <w:tc>
          <w:tcPr>
            <w:tcW w:w="254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Single-family residential</w:t>
            </w:r>
          </w:p>
        </w:tc>
        <w:tc>
          <w:tcPr>
            <w:tcW w:w="0" w:type="dxa"/>
            <w:vAlign w:val="bottom"/>
          </w:tcPr>
          <w:p>
            <w:pPr>
              <w:spacing w:after="0"/>
              <w:rPr>
                <w:sz w:val="1"/>
                <w:szCs w:val="1"/>
                <w:color w:val="auto"/>
              </w:rPr>
            </w:pPr>
          </w:p>
        </w:tc>
      </w:tr>
      <w:tr>
        <w:trPr>
          <w:trHeight w:val="316"/>
        </w:trPr>
        <w:tc>
          <w:tcPr>
            <w:tcW w:w="1580" w:type="dxa"/>
            <w:vAlign w:val="bottom"/>
            <w:tcBorders>
              <w:left w:val="single" w:sz="8" w:color="2C2C2C"/>
              <w:right w:val="single" w:sz="8" w:color="808080"/>
            </w:tcBorders>
          </w:tcPr>
          <w:p>
            <w:pPr>
              <w:ind w:left="20"/>
              <w:spacing w:after="0"/>
              <w:rPr>
                <w:sz w:val="20"/>
                <w:szCs w:val="20"/>
                <w:color w:val="auto"/>
              </w:rPr>
            </w:pPr>
            <w:r>
              <w:rPr>
                <w:rFonts w:ascii="Arial" w:cs="Arial" w:eastAsia="Arial" w:hAnsi="Arial"/>
                <w:sz w:val="22"/>
                <w:szCs w:val="22"/>
                <w:b w:val="1"/>
                <w:bCs w:val="1"/>
                <w:color w:val="auto"/>
              </w:rPr>
              <w:t>East</w:t>
            </w:r>
          </w:p>
        </w:tc>
        <w:tc>
          <w:tcPr>
            <w:tcW w:w="344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Low Density Residential 3 (LDR 3)</w:t>
            </w:r>
          </w:p>
        </w:tc>
        <w:tc>
          <w:tcPr>
            <w:tcW w:w="248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Planned Unit</w:t>
            </w:r>
          </w:p>
        </w:tc>
        <w:tc>
          <w:tcPr>
            <w:tcW w:w="2540" w:type="dxa"/>
            <w:vAlign w:val="bottom"/>
            <w:tcBorders>
              <w:right w:val="single" w:sz="8" w:color="2C2C2C"/>
            </w:tcBorders>
          </w:tcPr>
          <w:p>
            <w:pPr>
              <w:ind w:left="20"/>
              <w:spacing w:after="0"/>
              <w:rPr>
                <w:sz w:val="20"/>
                <w:szCs w:val="20"/>
                <w:color w:val="auto"/>
              </w:rPr>
            </w:pPr>
            <w:r>
              <w:rPr>
                <w:rFonts w:ascii="Arial" w:cs="Arial" w:eastAsia="Arial" w:hAnsi="Arial"/>
                <w:sz w:val="22"/>
                <w:szCs w:val="22"/>
                <w:color w:val="auto"/>
              </w:rPr>
              <w:t>Multi-family residential</w:t>
            </w:r>
          </w:p>
        </w:tc>
        <w:tc>
          <w:tcPr>
            <w:tcW w:w="0" w:type="dxa"/>
            <w:vAlign w:val="bottom"/>
          </w:tcPr>
          <w:p>
            <w:pPr>
              <w:spacing w:after="0"/>
              <w:rPr>
                <w:sz w:val="1"/>
                <w:szCs w:val="1"/>
                <w:color w:val="auto"/>
              </w:rPr>
            </w:pPr>
          </w:p>
        </w:tc>
      </w:tr>
      <w:tr>
        <w:trPr>
          <w:trHeight w:val="204"/>
        </w:trPr>
        <w:tc>
          <w:tcPr>
            <w:tcW w:w="1580" w:type="dxa"/>
            <w:vAlign w:val="bottom"/>
            <w:tcBorders>
              <w:left w:val="single" w:sz="8" w:color="2C2C2C"/>
              <w:bottom w:val="single" w:sz="8" w:color="808080"/>
              <w:right w:val="single" w:sz="8" w:color="808080"/>
            </w:tcBorders>
          </w:tcPr>
          <w:p>
            <w:pPr>
              <w:spacing w:after="0"/>
              <w:rPr>
                <w:sz w:val="17"/>
                <w:szCs w:val="17"/>
                <w:color w:val="auto"/>
              </w:rPr>
            </w:pPr>
          </w:p>
        </w:tc>
        <w:tc>
          <w:tcPr>
            <w:tcW w:w="3440" w:type="dxa"/>
            <w:vAlign w:val="bottom"/>
            <w:tcBorders>
              <w:bottom w:val="single" w:sz="8" w:color="808080"/>
              <w:right w:val="single" w:sz="8" w:color="808080"/>
            </w:tcBorders>
          </w:tcPr>
          <w:p>
            <w:pPr>
              <w:spacing w:after="0"/>
              <w:rPr>
                <w:sz w:val="17"/>
                <w:szCs w:val="17"/>
                <w:color w:val="auto"/>
              </w:rPr>
            </w:pPr>
          </w:p>
        </w:tc>
        <w:tc>
          <w:tcPr>
            <w:tcW w:w="2480" w:type="dxa"/>
            <w:vAlign w:val="bottom"/>
            <w:tcBorders>
              <w:bottom w:val="single" w:sz="8" w:color="808080"/>
              <w:right w:val="single" w:sz="8" w:color="808080"/>
            </w:tcBorders>
          </w:tcPr>
          <w:p>
            <w:pPr>
              <w:spacing w:after="0" w:line="204" w:lineRule="exact"/>
              <w:rPr>
                <w:sz w:val="20"/>
                <w:szCs w:val="20"/>
                <w:color w:val="auto"/>
              </w:rPr>
            </w:pPr>
            <w:r>
              <w:rPr>
                <w:rFonts w:ascii="Arial" w:cs="Arial" w:eastAsia="Arial" w:hAnsi="Arial"/>
                <w:sz w:val="22"/>
                <w:szCs w:val="22"/>
                <w:color w:val="auto"/>
              </w:rPr>
              <w:t>Development 95-89</w:t>
            </w:r>
          </w:p>
        </w:tc>
        <w:tc>
          <w:tcPr>
            <w:tcW w:w="2540" w:type="dxa"/>
            <w:vAlign w:val="bottom"/>
            <w:tcBorders>
              <w:bottom w:val="single" w:sz="8" w:color="808080"/>
              <w:right w:val="single" w:sz="8" w:color="2C2C2C"/>
            </w:tcBorders>
          </w:tcPr>
          <w:p>
            <w:pPr>
              <w:spacing w:after="0"/>
              <w:rPr>
                <w:sz w:val="17"/>
                <w:szCs w:val="17"/>
                <w:color w:val="auto"/>
              </w:rPr>
            </w:pPr>
          </w:p>
        </w:tc>
        <w:tc>
          <w:tcPr>
            <w:tcW w:w="0" w:type="dxa"/>
            <w:vAlign w:val="bottom"/>
          </w:tcPr>
          <w:p>
            <w:pPr>
              <w:spacing w:after="0"/>
              <w:rPr>
                <w:sz w:val="1"/>
                <w:szCs w:val="1"/>
                <w:color w:val="auto"/>
              </w:rPr>
            </w:pPr>
          </w:p>
        </w:tc>
      </w:tr>
      <w:tr>
        <w:trPr>
          <w:trHeight w:val="316"/>
        </w:trPr>
        <w:tc>
          <w:tcPr>
            <w:tcW w:w="1580" w:type="dxa"/>
            <w:vAlign w:val="bottom"/>
            <w:tcBorders>
              <w:left w:val="single" w:sz="8" w:color="2C2C2C"/>
              <w:right w:val="single" w:sz="8" w:color="808080"/>
            </w:tcBorders>
          </w:tcPr>
          <w:p>
            <w:pPr>
              <w:ind w:left="20"/>
              <w:spacing w:after="0"/>
              <w:rPr>
                <w:sz w:val="20"/>
                <w:szCs w:val="20"/>
                <w:color w:val="auto"/>
              </w:rPr>
            </w:pPr>
            <w:r>
              <w:rPr>
                <w:rFonts w:ascii="Arial" w:cs="Arial" w:eastAsia="Arial" w:hAnsi="Arial"/>
                <w:sz w:val="22"/>
                <w:szCs w:val="22"/>
                <w:b w:val="1"/>
                <w:bCs w:val="1"/>
                <w:color w:val="auto"/>
              </w:rPr>
              <w:t>West</w:t>
            </w:r>
          </w:p>
        </w:tc>
        <w:tc>
          <w:tcPr>
            <w:tcW w:w="344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Open Space and Parks (OSP)</w:t>
            </w:r>
          </w:p>
        </w:tc>
        <w:tc>
          <w:tcPr>
            <w:tcW w:w="248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Education and Institution</w:t>
            </w:r>
          </w:p>
        </w:tc>
        <w:tc>
          <w:tcPr>
            <w:tcW w:w="2540" w:type="dxa"/>
            <w:vAlign w:val="bottom"/>
            <w:tcBorders>
              <w:right w:val="single" w:sz="8" w:color="2C2C2C"/>
            </w:tcBorders>
          </w:tcPr>
          <w:p>
            <w:pPr>
              <w:ind w:left="20"/>
              <w:spacing w:after="0"/>
              <w:rPr>
                <w:sz w:val="20"/>
                <w:szCs w:val="20"/>
                <w:color w:val="auto"/>
              </w:rPr>
            </w:pPr>
            <w:r>
              <w:rPr>
                <w:rFonts w:ascii="Arial" w:cs="Arial" w:eastAsia="Arial" w:hAnsi="Arial"/>
                <w:sz w:val="22"/>
                <w:szCs w:val="22"/>
                <w:color w:val="auto"/>
              </w:rPr>
              <w:t>Robert Livermore</w:t>
            </w:r>
          </w:p>
        </w:tc>
        <w:tc>
          <w:tcPr>
            <w:tcW w:w="0" w:type="dxa"/>
            <w:vAlign w:val="bottom"/>
          </w:tcPr>
          <w:p>
            <w:pPr>
              <w:spacing w:after="0"/>
              <w:rPr>
                <w:sz w:val="1"/>
                <w:szCs w:val="1"/>
                <w:color w:val="auto"/>
              </w:rPr>
            </w:pPr>
          </w:p>
        </w:tc>
      </w:tr>
      <w:tr>
        <w:trPr>
          <w:trHeight w:val="204"/>
        </w:trPr>
        <w:tc>
          <w:tcPr>
            <w:tcW w:w="1580" w:type="dxa"/>
            <w:vAlign w:val="bottom"/>
            <w:tcBorders>
              <w:left w:val="single" w:sz="8" w:color="2C2C2C"/>
              <w:bottom w:val="single" w:sz="8" w:color="808080"/>
              <w:right w:val="single" w:sz="8" w:color="808080"/>
            </w:tcBorders>
          </w:tcPr>
          <w:p>
            <w:pPr>
              <w:spacing w:after="0"/>
              <w:rPr>
                <w:sz w:val="17"/>
                <w:szCs w:val="17"/>
                <w:color w:val="auto"/>
              </w:rPr>
            </w:pPr>
          </w:p>
        </w:tc>
        <w:tc>
          <w:tcPr>
            <w:tcW w:w="3440" w:type="dxa"/>
            <w:vAlign w:val="bottom"/>
            <w:tcBorders>
              <w:bottom w:val="single" w:sz="8" w:color="808080"/>
              <w:right w:val="single" w:sz="8" w:color="808080"/>
            </w:tcBorders>
          </w:tcPr>
          <w:p>
            <w:pPr>
              <w:spacing w:after="0"/>
              <w:rPr>
                <w:sz w:val="17"/>
                <w:szCs w:val="17"/>
                <w:color w:val="auto"/>
              </w:rPr>
            </w:pPr>
          </w:p>
        </w:tc>
        <w:tc>
          <w:tcPr>
            <w:tcW w:w="2480" w:type="dxa"/>
            <w:vAlign w:val="bottom"/>
            <w:tcBorders>
              <w:bottom w:val="single" w:sz="8" w:color="808080"/>
              <w:right w:val="single" w:sz="8" w:color="808080"/>
            </w:tcBorders>
          </w:tcPr>
          <w:p>
            <w:pPr>
              <w:spacing w:after="0"/>
              <w:rPr>
                <w:sz w:val="17"/>
                <w:szCs w:val="17"/>
                <w:color w:val="auto"/>
              </w:rPr>
            </w:pPr>
          </w:p>
        </w:tc>
        <w:tc>
          <w:tcPr>
            <w:tcW w:w="2540" w:type="dxa"/>
            <w:vAlign w:val="bottom"/>
            <w:tcBorders>
              <w:bottom w:val="single" w:sz="8" w:color="808080"/>
              <w:right w:val="single" w:sz="8" w:color="2C2C2C"/>
            </w:tcBorders>
          </w:tcPr>
          <w:p>
            <w:pPr>
              <w:ind w:left="20"/>
              <w:spacing w:after="0" w:line="204" w:lineRule="exact"/>
              <w:rPr>
                <w:sz w:val="20"/>
                <w:szCs w:val="20"/>
                <w:color w:val="auto"/>
              </w:rPr>
            </w:pPr>
            <w:r>
              <w:rPr>
                <w:rFonts w:ascii="Arial" w:cs="Arial" w:eastAsia="Arial" w:hAnsi="Arial"/>
                <w:sz w:val="22"/>
                <w:szCs w:val="22"/>
                <w:color w:val="auto"/>
              </w:rPr>
              <w:t>Community Center</w:t>
            </w:r>
          </w:p>
        </w:tc>
        <w:tc>
          <w:tcPr>
            <w:tcW w:w="0" w:type="dxa"/>
            <w:vAlign w:val="bottom"/>
          </w:tcPr>
          <w:p>
            <w:pPr>
              <w:spacing w:after="0"/>
              <w:rPr>
                <w:sz w:val="1"/>
                <w:szCs w:val="1"/>
                <w:color w:val="auto"/>
              </w:rPr>
            </w:pPr>
          </w:p>
        </w:tc>
      </w:tr>
      <w:tr>
        <w:trPr>
          <w:trHeight w:val="336"/>
        </w:trPr>
        <w:tc>
          <w:tcPr>
            <w:tcW w:w="1580" w:type="dxa"/>
            <w:vAlign w:val="bottom"/>
            <w:tcBorders>
              <w:left w:val="single" w:sz="8" w:color="2C2C2C"/>
              <w:right w:val="single" w:sz="8" w:color="808080"/>
            </w:tcBorders>
          </w:tcPr>
          <w:p>
            <w:pPr>
              <w:ind w:left="20"/>
              <w:spacing w:after="0"/>
              <w:rPr>
                <w:sz w:val="20"/>
                <w:szCs w:val="20"/>
                <w:color w:val="auto"/>
              </w:rPr>
            </w:pPr>
            <w:r>
              <w:rPr>
                <w:rFonts w:ascii="Arial" w:cs="Arial" w:eastAsia="Arial" w:hAnsi="Arial"/>
                <w:sz w:val="22"/>
                <w:szCs w:val="22"/>
                <w:b w:val="1"/>
                <w:bCs w:val="1"/>
                <w:color w:val="auto"/>
              </w:rPr>
              <w:t>Subject Site</w:t>
            </w:r>
          </w:p>
        </w:tc>
        <w:tc>
          <w:tcPr>
            <w:tcW w:w="344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Open Space and Parks (OSP)</w:t>
            </w:r>
          </w:p>
        </w:tc>
        <w:tc>
          <w:tcPr>
            <w:tcW w:w="2480" w:type="dxa"/>
            <w:vAlign w:val="bottom"/>
            <w:tcBorders>
              <w:right w:val="single" w:sz="8" w:color="808080"/>
            </w:tcBorders>
          </w:tcPr>
          <w:p>
            <w:pPr>
              <w:spacing w:after="0"/>
              <w:rPr>
                <w:sz w:val="20"/>
                <w:szCs w:val="20"/>
                <w:color w:val="auto"/>
              </w:rPr>
            </w:pPr>
            <w:r>
              <w:rPr>
                <w:rFonts w:ascii="Arial" w:cs="Arial" w:eastAsia="Arial" w:hAnsi="Arial"/>
                <w:sz w:val="22"/>
                <w:szCs w:val="22"/>
                <w:color w:val="auto"/>
              </w:rPr>
              <w:t>Education and Institution</w:t>
            </w:r>
          </w:p>
        </w:tc>
        <w:tc>
          <w:tcPr>
            <w:tcW w:w="2540" w:type="dxa"/>
            <w:vAlign w:val="bottom"/>
            <w:tcBorders>
              <w:right w:val="single" w:sz="8" w:color="2C2C2C"/>
            </w:tcBorders>
          </w:tcPr>
          <w:p>
            <w:pPr>
              <w:ind w:left="20"/>
              <w:spacing w:after="0"/>
              <w:rPr>
                <w:sz w:val="20"/>
                <w:szCs w:val="20"/>
                <w:color w:val="auto"/>
              </w:rPr>
            </w:pPr>
            <w:r>
              <w:rPr>
                <w:rFonts w:ascii="Arial" w:cs="Arial" w:eastAsia="Arial" w:hAnsi="Arial"/>
                <w:sz w:val="22"/>
                <w:szCs w:val="22"/>
                <w:color w:val="auto"/>
              </w:rPr>
              <w:t>Fire Station No. 6</w:t>
            </w:r>
          </w:p>
        </w:tc>
        <w:tc>
          <w:tcPr>
            <w:tcW w:w="0" w:type="dxa"/>
            <w:vAlign w:val="bottom"/>
          </w:tcPr>
          <w:p>
            <w:pPr>
              <w:spacing w:after="0"/>
              <w:rPr>
                <w:sz w:val="1"/>
                <w:szCs w:val="1"/>
                <w:color w:val="auto"/>
              </w:rPr>
            </w:pPr>
          </w:p>
        </w:tc>
      </w:tr>
      <w:tr>
        <w:trPr>
          <w:trHeight w:val="136"/>
        </w:trPr>
        <w:tc>
          <w:tcPr>
            <w:tcW w:w="1580" w:type="dxa"/>
            <w:vAlign w:val="bottom"/>
            <w:tcBorders>
              <w:left w:val="single" w:sz="8" w:color="2C2C2C"/>
              <w:bottom w:val="single" w:sz="8" w:color="2C2C2C"/>
              <w:right w:val="single" w:sz="8" w:color="808080"/>
            </w:tcBorders>
          </w:tcPr>
          <w:p>
            <w:pPr>
              <w:spacing w:after="0"/>
              <w:rPr>
                <w:sz w:val="11"/>
                <w:szCs w:val="11"/>
                <w:color w:val="auto"/>
              </w:rPr>
            </w:pPr>
          </w:p>
        </w:tc>
        <w:tc>
          <w:tcPr>
            <w:tcW w:w="3440" w:type="dxa"/>
            <w:vAlign w:val="bottom"/>
            <w:tcBorders>
              <w:bottom w:val="single" w:sz="8" w:color="2C2C2C"/>
              <w:right w:val="single" w:sz="8" w:color="808080"/>
            </w:tcBorders>
          </w:tcPr>
          <w:p>
            <w:pPr>
              <w:spacing w:after="0"/>
              <w:rPr>
                <w:sz w:val="11"/>
                <w:szCs w:val="11"/>
                <w:color w:val="auto"/>
              </w:rPr>
            </w:pPr>
          </w:p>
        </w:tc>
        <w:tc>
          <w:tcPr>
            <w:tcW w:w="2480" w:type="dxa"/>
            <w:vAlign w:val="bottom"/>
            <w:tcBorders>
              <w:bottom w:val="single" w:sz="8" w:color="2C2C2C"/>
              <w:right w:val="single" w:sz="8" w:color="808080"/>
            </w:tcBorders>
          </w:tcPr>
          <w:p>
            <w:pPr>
              <w:spacing w:after="0"/>
              <w:rPr>
                <w:sz w:val="11"/>
                <w:szCs w:val="11"/>
                <w:color w:val="auto"/>
              </w:rPr>
            </w:pPr>
          </w:p>
        </w:tc>
        <w:tc>
          <w:tcPr>
            <w:tcW w:w="2540" w:type="dxa"/>
            <w:vAlign w:val="bottom"/>
            <w:tcBorders>
              <w:bottom w:val="single" w:sz="8" w:color="2C2C2C"/>
              <w:right w:val="single" w:sz="8" w:color="2C2C2C"/>
            </w:tcBorders>
          </w:tcPr>
          <w:p>
            <w:pPr>
              <w:spacing w:after="0"/>
              <w:rPr>
                <w:sz w:val="11"/>
                <w:szCs w:val="11"/>
                <w:color w:val="auto"/>
              </w:rPr>
            </w:pPr>
          </w:p>
        </w:tc>
        <w:tc>
          <w:tcPr>
            <w:tcW w:w="0" w:type="dxa"/>
            <w:vAlign w:val="bottom"/>
          </w:tcPr>
          <w:p>
            <w:pPr>
              <w:spacing w:after="0"/>
              <w:rPr>
                <w:sz w:val="1"/>
                <w:szCs w:val="1"/>
                <w:color w:val="auto"/>
              </w:rPr>
            </w:pPr>
          </w:p>
        </w:tc>
      </w:tr>
    </w:tbl>
    <w:p>
      <w:pPr>
        <w:spacing w:after="0" w:line="279" w:lineRule="exact"/>
        <w:rPr>
          <w:sz w:val="20"/>
          <w:szCs w:val="20"/>
          <w:color w:val="auto"/>
        </w:rPr>
      </w:pPr>
    </w:p>
    <w:p>
      <w:pPr>
        <w:spacing w:after="0"/>
        <w:rPr>
          <w:sz w:val="20"/>
          <w:szCs w:val="20"/>
          <w:color w:val="auto"/>
        </w:rPr>
      </w:pPr>
      <w:r>
        <w:rPr>
          <w:rFonts w:ascii="Arial" w:cs="Arial" w:eastAsia="Arial" w:hAnsi="Arial"/>
          <w:sz w:val="22"/>
          <w:szCs w:val="22"/>
          <w:b w:val="1"/>
          <w:bCs w:val="1"/>
          <w:u w:val="single" w:color="auto"/>
          <w:color w:val="auto"/>
        </w:rPr>
        <w:t>STAFF ANALYSIS</w:t>
      </w:r>
    </w:p>
    <w:p>
      <w:pPr>
        <w:spacing w:after="0" w:line="325"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General Plan</w:t>
      </w:r>
    </w:p>
    <w:p>
      <w:pPr>
        <w:spacing w:after="0" w:line="323" w:lineRule="exact"/>
        <w:rPr>
          <w:sz w:val="20"/>
          <w:szCs w:val="20"/>
          <w:color w:val="auto"/>
        </w:rPr>
      </w:pPr>
    </w:p>
    <w:p>
      <w:pPr>
        <w:ind w:right="80"/>
        <w:spacing w:after="0" w:line="335" w:lineRule="auto"/>
        <w:rPr>
          <w:sz w:val="20"/>
          <w:szCs w:val="20"/>
          <w:color w:val="auto"/>
        </w:rPr>
      </w:pPr>
      <w:r>
        <w:rPr>
          <w:rFonts w:ascii="Arial" w:cs="Arial" w:eastAsia="Arial" w:hAnsi="Arial"/>
          <w:sz w:val="21"/>
          <w:szCs w:val="21"/>
          <w:color w:val="auto"/>
        </w:rPr>
        <w:t>The Safety Element of the General Plan establishes Goal S-4: Maintain a safe environment in Livermore through effective fire prevention, emergency response, and collaboration with regional partners and the</w:t>
      </w:r>
    </w:p>
    <w:p>
      <w:pPr>
        <w:sectPr>
          <w:pgSz w:w="12240" w:h="15840" w:orient="portrait"/>
          <w:cols w:equalWidth="0" w:num="1">
            <w:col w:w="10020"/>
          </w:cols>
          <w:pgMar w:left="1080" w:top="847" w:right="1140" w:bottom="758" w:gutter="0" w:footer="0" w:header="0"/>
        </w:sectPr>
      </w:pPr>
    </w:p>
    <w:p>
      <w:pPr>
        <w:jc w:val="both"/>
        <w:ind w:right="340"/>
        <w:spacing w:after="0" w:line="290" w:lineRule="auto"/>
        <w:rPr>
          <w:sz w:val="20"/>
          <w:szCs w:val="20"/>
          <w:color w:val="auto"/>
        </w:rPr>
      </w:pPr>
      <w:r>
        <w:rPr>
          <w:rFonts w:ascii="Arial" w:cs="Arial" w:eastAsia="Arial" w:hAnsi="Arial"/>
          <w:sz w:val="22"/>
          <w:szCs w:val="22"/>
          <w:color w:val="auto"/>
        </w:rPr>
        <w:t>community. The proposed project will implement this goal by further meeting the station's operational needs, building code requirements, firefighter health and safety standards, and the storage of modern apparatus and equipment.</w:t>
      </w:r>
    </w:p>
    <w:p>
      <w:pPr>
        <w:spacing w:after="0" w:line="234" w:lineRule="exact"/>
        <w:rPr>
          <w:sz w:val="20"/>
          <w:szCs w:val="20"/>
          <w:color w:val="auto"/>
        </w:rPr>
      </w:pPr>
    </w:p>
    <w:p>
      <w:pPr>
        <w:ind w:right="300"/>
        <w:spacing w:after="0" w:line="298" w:lineRule="auto"/>
        <w:rPr>
          <w:sz w:val="20"/>
          <w:szCs w:val="20"/>
          <w:color w:val="auto"/>
        </w:rPr>
      </w:pPr>
      <w:r>
        <w:rPr>
          <w:rFonts w:ascii="Arial" w:cs="Arial" w:eastAsia="Arial" w:hAnsi="Arial"/>
          <w:sz w:val="21"/>
          <w:szCs w:val="21"/>
          <w:color w:val="auto"/>
        </w:rPr>
        <w:t>The General Plan land use designation for the subject site is Open Space and Parks (OSP). The OSP designation is applied to areas to be maintained as permanent or semi-permanent open space. The project site is adjacent to the Robert Livermore Community Center and Park, a recreational complex. The project site and adjacent community center property are owned by the City of Livermore and together function as a civic space that meets the intent of the OSP land use designation.</w:t>
      </w:r>
    </w:p>
    <w:p>
      <w:pPr>
        <w:spacing w:after="0" w:line="229"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Zoning Classification</w:t>
      </w:r>
    </w:p>
    <w:p>
      <w:pPr>
        <w:spacing w:after="0" w:line="323" w:lineRule="exact"/>
        <w:rPr>
          <w:sz w:val="20"/>
          <w:szCs w:val="20"/>
          <w:color w:val="auto"/>
        </w:rPr>
      </w:pPr>
    </w:p>
    <w:p>
      <w:pPr>
        <w:ind w:right="40"/>
        <w:spacing w:after="0" w:line="279" w:lineRule="auto"/>
        <w:rPr>
          <w:sz w:val="20"/>
          <w:szCs w:val="20"/>
          <w:color w:val="auto"/>
        </w:rPr>
      </w:pPr>
      <w:r>
        <w:rPr>
          <w:rFonts w:ascii="Arial" w:cs="Arial" w:eastAsia="Arial" w:hAnsi="Arial"/>
          <w:sz w:val="22"/>
          <w:szCs w:val="22"/>
          <w:color w:val="auto"/>
        </w:rPr>
        <w:t>The property is zoned Education and Institution (E). The E zone is applied to areas appropriate for public and private educational institutions, publicly owned park and recreation facilities, and areas for governmental buildings and facilities. Fire stations are considered a public and quasi-public use, which is a conditionally permitted use in the E zone. Staff was unable to locate a Conditional Use Permit (CUP) for the existing fire station. It should be noted that the zoning in place at the time of the original construction may have not required a CUP for a fire station. Therefore, CUP26-001 is included in the project entitlement package.</w:t>
      </w:r>
    </w:p>
    <w:p>
      <w:pPr>
        <w:spacing w:after="0" w:line="245" w:lineRule="exact"/>
        <w:rPr>
          <w:sz w:val="20"/>
          <w:szCs w:val="20"/>
          <w:color w:val="auto"/>
        </w:rPr>
      </w:pPr>
    </w:p>
    <w:p>
      <w:pPr>
        <w:spacing w:after="0"/>
        <w:rPr>
          <w:sz w:val="20"/>
          <w:szCs w:val="20"/>
          <w:color w:val="auto"/>
        </w:rPr>
      </w:pPr>
      <w:r>
        <w:rPr>
          <w:rFonts w:ascii="Arial" w:cs="Arial" w:eastAsia="Arial" w:hAnsi="Arial"/>
          <w:sz w:val="22"/>
          <w:szCs w:val="22"/>
          <w:color w:val="auto"/>
        </w:rPr>
        <w:t>The following table summarizes the project’s conformance to the applicable zoning standards:</w:t>
      </w:r>
    </w:p>
    <w:p>
      <w:pPr>
        <w:spacing w:after="0" w:line="323" w:lineRule="exact"/>
        <w:rPr>
          <w:sz w:val="20"/>
          <w:szCs w:val="20"/>
          <w:color w:val="auto"/>
        </w:rPr>
      </w:pPr>
    </w:p>
    <w:p>
      <w:pPr>
        <w:spacing w:after="0"/>
        <w:rPr>
          <w:sz w:val="20"/>
          <w:szCs w:val="20"/>
          <w:color w:val="auto"/>
        </w:rPr>
      </w:pPr>
      <w:r>
        <w:rPr>
          <w:rFonts w:ascii="Arial" w:cs="Arial" w:eastAsia="Arial" w:hAnsi="Arial"/>
          <w:sz w:val="22"/>
          <w:szCs w:val="22"/>
          <w:color w:val="auto"/>
        </w:rPr>
        <w:t>Table 2. Development Standards</w:t>
      </w:r>
    </w:p>
    <w:p>
      <w:pPr>
        <w:spacing w:after="0" w:line="311" w:lineRule="exact"/>
        <w:rPr>
          <w:sz w:val="20"/>
          <w:szCs w:val="20"/>
          <w:color w:val="auto"/>
        </w:rPr>
      </w:pPr>
    </w:p>
    <w:tbl>
      <w:tblPr>
        <w:tblLayout w:type="fixed"/>
        <w:tblInd w:w="10" w:type="dxa"/>
        <w:tblCellMar>
          <w:top w:w="0" w:type="dxa"/>
          <w:left w:w="0" w:type="dxa"/>
          <w:bottom w:w="0" w:type="dxa"/>
          <w:right w:w="0" w:type="dxa"/>
        </w:tblCellMar>
      </w:tblPr>
      <w:tr>
        <w:trPr>
          <w:trHeight w:val="300"/>
        </w:trPr>
        <w:tc>
          <w:tcPr>
            <w:tcW w:w="3340" w:type="dxa"/>
            <w:vAlign w:val="bottom"/>
            <w:tcBorders>
              <w:top w:val="single" w:sz="8" w:color="2C2C2C"/>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b w:val="1"/>
                <w:bCs w:val="1"/>
                <w:color w:val="auto"/>
              </w:rPr>
              <w:t>Development Standard</w:t>
            </w:r>
          </w:p>
        </w:tc>
        <w:tc>
          <w:tcPr>
            <w:tcW w:w="3380" w:type="dxa"/>
            <w:vAlign w:val="bottom"/>
            <w:tcBorders>
              <w:top w:val="single" w:sz="8" w:color="2C2C2C"/>
              <w:bottom w:val="single" w:sz="8" w:color="808080"/>
              <w:right w:val="single" w:sz="8" w:color="808080"/>
            </w:tcBorders>
          </w:tcPr>
          <w:p>
            <w:pPr>
              <w:spacing w:after="0"/>
              <w:rPr>
                <w:sz w:val="20"/>
                <w:szCs w:val="20"/>
                <w:color w:val="auto"/>
              </w:rPr>
            </w:pPr>
            <w:r>
              <w:rPr>
                <w:rFonts w:ascii="Arial" w:cs="Arial" w:eastAsia="Arial" w:hAnsi="Arial"/>
                <w:sz w:val="22"/>
                <w:szCs w:val="22"/>
                <w:b w:val="1"/>
                <w:bCs w:val="1"/>
                <w:color w:val="auto"/>
              </w:rPr>
              <w:t>Required</w:t>
            </w:r>
          </w:p>
        </w:tc>
        <w:tc>
          <w:tcPr>
            <w:tcW w:w="3320" w:type="dxa"/>
            <w:vAlign w:val="bottom"/>
            <w:tcBorders>
              <w:top w:val="single" w:sz="8" w:color="2C2C2C"/>
              <w:bottom w:val="single" w:sz="8" w:color="808080"/>
              <w:right w:val="single" w:sz="8" w:color="2C2C2C"/>
            </w:tcBorders>
          </w:tcPr>
          <w:p>
            <w:pPr>
              <w:ind w:left="20"/>
              <w:spacing w:after="0"/>
              <w:rPr>
                <w:sz w:val="20"/>
                <w:szCs w:val="20"/>
                <w:color w:val="auto"/>
              </w:rPr>
            </w:pPr>
            <w:r>
              <w:rPr>
                <w:rFonts w:ascii="Arial" w:cs="Arial" w:eastAsia="Arial" w:hAnsi="Arial"/>
                <w:sz w:val="22"/>
                <w:szCs w:val="22"/>
                <w:b w:val="1"/>
                <w:bCs w:val="1"/>
                <w:color w:val="auto"/>
              </w:rPr>
              <w:t>Proposed</w:t>
            </w:r>
          </w:p>
        </w:tc>
      </w:tr>
      <w:tr>
        <w:trPr>
          <w:trHeight w:val="268"/>
        </w:trPr>
        <w:tc>
          <w:tcPr>
            <w:tcW w:w="3340" w:type="dxa"/>
            <w:vAlign w:val="bottom"/>
            <w:tcBorders>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color w:val="auto"/>
              </w:rPr>
              <w:t>Building Height (Maximum)</w:t>
            </w:r>
          </w:p>
        </w:tc>
        <w:tc>
          <w:tcPr>
            <w:tcW w:w="338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35 feet</w:t>
            </w:r>
          </w:p>
        </w:tc>
        <w:tc>
          <w:tcPr>
            <w:tcW w:w="332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35 feet</w:t>
            </w:r>
          </w:p>
        </w:tc>
      </w:tr>
      <w:tr>
        <w:trPr>
          <w:trHeight w:val="268"/>
        </w:trPr>
        <w:tc>
          <w:tcPr>
            <w:tcW w:w="3340" w:type="dxa"/>
            <w:vAlign w:val="bottom"/>
            <w:tcBorders>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color w:val="auto"/>
              </w:rPr>
              <w:t>Lot Coverage (Maximum)</w:t>
            </w:r>
          </w:p>
        </w:tc>
        <w:tc>
          <w:tcPr>
            <w:tcW w:w="338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50 percent</w:t>
            </w:r>
          </w:p>
        </w:tc>
        <w:tc>
          <w:tcPr>
            <w:tcW w:w="332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16.9 percent</w:t>
            </w:r>
          </w:p>
        </w:tc>
      </w:tr>
      <w:tr>
        <w:trPr>
          <w:trHeight w:val="268"/>
        </w:trPr>
        <w:tc>
          <w:tcPr>
            <w:tcW w:w="3340" w:type="dxa"/>
            <w:vAlign w:val="bottom"/>
            <w:tcBorders>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color w:val="auto"/>
              </w:rPr>
              <w:t>Front Setback (Minimum)</w:t>
            </w:r>
          </w:p>
        </w:tc>
        <w:tc>
          <w:tcPr>
            <w:tcW w:w="338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25 feet</w:t>
            </w:r>
          </w:p>
        </w:tc>
        <w:tc>
          <w:tcPr>
            <w:tcW w:w="332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25 feet</w:t>
            </w:r>
          </w:p>
        </w:tc>
      </w:tr>
      <w:tr>
        <w:trPr>
          <w:trHeight w:val="268"/>
        </w:trPr>
        <w:tc>
          <w:tcPr>
            <w:tcW w:w="3340" w:type="dxa"/>
            <w:vAlign w:val="bottom"/>
            <w:tcBorders>
              <w:left w:val="single" w:sz="8" w:color="2C2C2C"/>
              <w:bottom w:val="single" w:sz="8" w:color="808080"/>
              <w:right w:val="single" w:sz="8" w:color="808080"/>
            </w:tcBorders>
          </w:tcPr>
          <w:p>
            <w:pPr>
              <w:ind w:left="20"/>
              <w:spacing w:after="0"/>
              <w:rPr>
                <w:sz w:val="20"/>
                <w:szCs w:val="20"/>
                <w:color w:val="auto"/>
              </w:rPr>
            </w:pPr>
            <w:r>
              <w:rPr>
                <w:rFonts w:ascii="Arial" w:cs="Arial" w:eastAsia="Arial" w:hAnsi="Arial"/>
                <w:sz w:val="22"/>
                <w:szCs w:val="22"/>
                <w:color w:val="auto"/>
              </w:rPr>
              <w:t>Side Setback (Minimum)</w:t>
            </w:r>
          </w:p>
        </w:tc>
        <w:tc>
          <w:tcPr>
            <w:tcW w:w="3380" w:type="dxa"/>
            <w:vAlign w:val="bottom"/>
            <w:tcBorders>
              <w:bottom w:val="single" w:sz="8" w:color="808080"/>
              <w:right w:val="single" w:sz="8" w:color="808080"/>
            </w:tcBorders>
          </w:tcPr>
          <w:p>
            <w:pPr>
              <w:spacing w:after="0"/>
              <w:rPr>
                <w:sz w:val="20"/>
                <w:szCs w:val="20"/>
                <w:color w:val="auto"/>
              </w:rPr>
            </w:pPr>
            <w:r>
              <w:rPr>
                <w:rFonts w:ascii="Arial" w:cs="Arial" w:eastAsia="Arial" w:hAnsi="Arial"/>
                <w:sz w:val="22"/>
                <w:szCs w:val="22"/>
                <w:color w:val="auto"/>
              </w:rPr>
              <w:t>25 feet</w:t>
            </w:r>
          </w:p>
        </w:tc>
        <w:tc>
          <w:tcPr>
            <w:tcW w:w="3320" w:type="dxa"/>
            <w:vAlign w:val="bottom"/>
            <w:tcBorders>
              <w:bottom w:val="single" w:sz="8" w:color="808080"/>
              <w:right w:val="single" w:sz="8" w:color="2C2C2C"/>
            </w:tcBorders>
          </w:tcPr>
          <w:p>
            <w:pPr>
              <w:ind w:left="20"/>
              <w:spacing w:after="0"/>
              <w:rPr>
                <w:sz w:val="20"/>
                <w:szCs w:val="20"/>
                <w:color w:val="auto"/>
              </w:rPr>
            </w:pPr>
            <w:r>
              <w:rPr>
                <w:rFonts w:ascii="Arial" w:cs="Arial" w:eastAsia="Arial" w:hAnsi="Arial"/>
                <w:sz w:val="22"/>
                <w:szCs w:val="22"/>
                <w:color w:val="auto"/>
              </w:rPr>
              <w:t>25 feet</w:t>
            </w:r>
          </w:p>
        </w:tc>
      </w:tr>
      <w:tr>
        <w:trPr>
          <w:trHeight w:val="268"/>
        </w:trPr>
        <w:tc>
          <w:tcPr>
            <w:tcW w:w="3340" w:type="dxa"/>
            <w:vAlign w:val="bottom"/>
            <w:tcBorders>
              <w:left w:val="single" w:sz="8" w:color="2C2C2C"/>
              <w:bottom w:val="single" w:sz="8" w:color="2C2C2C"/>
              <w:right w:val="single" w:sz="8" w:color="808080"/>
            </w:tcBorders>
          </w:tcPr>
          <w:p>
            <w:pPr>
              <w:ind w:left="20"/>
              <w:spacing w:after="0"/>
              <w:rPr>
                <w:sz w:val="20"/>
                <w:szCs w:val="20"/>
                <w:color w:val="auto"/>
              </w:rPr>
            </w:pPr>
            <w:r>
              <w:rPr>
                <w:rFonts w:ascii="Arial" w:cs="Arial" w:eastAsia="Arial" w:hAnsi="Arial"/>
                <w:sz w:val="22"/>
                <w:szCs w:val="22"/>
                <w:color w:val="auto"/>
              </w:rPr>
              <w:t>Rear Setback (Minimum)</w:t>
            </w:r>
          </w:p>
        </w:tc>
        <w:tc>
          <w:tcPr>
            <w:tcW w:w="3380" w:type="dxa"/>
            <w:vAlign w:val="bottom"/>
            <w:tcBorders>
              <w:bottom w:val="single" w:sz="8" w:color="2C2C2C"/>
              <w:right w:val="single" w:sz="8" w:color="808080"/>
            </w:tcBorders>
          </w:tcPr>
          <w:p>
            <w:pPr>
              <w:spacing w:after="0"/>
              <w:rPr>
                <w:sz w:val="20"/>
                <w:szCs w:val="20"/>
                <w:color w:val="auto"/>
              </w:rPr>
            </w:pPr>
            <w:r>
              <w:rPr>
                <w:rFonts w:ascii="Arial" w:cs="Arial" w:eastAsia="Arial" w:hAnsi="Arial"/>
                <w:sz w:val="22"/>
                <w:szCs w:val="22"/>
                <w:color w:val="auto"/>
              </w:rPr>
              <w:t>25 feet</w:t>
            </w:r>
          </w:p>
        </w:tc>
        <w:tc>
          <w:tcPr>
            <w:tcW w:w="3320" w:type="dxa"/>
            <w:vAlign w:val="bottom"/>
            <w:tcBorders>
              <w:bottom w:val="single" w:sz="8" w:color="2C2C2C"/>
              <w:right w:val="single" w:sz="8" w:color="2C2C2C"/>
            </w:tcBorders>
          </w:tcPr>
          <w:p>
            <w:pPr>
              <w:ind w:left="20"/>
              <w:spacing w:after="0"/>
              <w:rPr>
                <w:sz w:val="20"/>
                <w:szCs w:val="20"/>
                <w:color w:val="auto"/>
              </w:rPr>
            </w:pPr>
            <w:r>
              <w:rPr>
                <w:rFonts w:ascii="Arial" w:cs="Arial" w:eastAsia="Arial" w:hAnsi="Arial"/>
                <w:sz w:val="22"/>
                <w:szCs w:val="22"/>
                <w:color w:val="auto"/>
              </w:rPr>
              <w:t>&gt;1,000 feet</w:t>
            </w:r>
          </w:p>
        </w:tc>
      </w:tr>
    </w:tbl>
    <w:p>
      <w:pPr>
        <w:spacing w:after="0" w:line="281"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Site Plan Design Review</w:t>
      </w:r>
    </w:p>
    <w:p>
      <w:pPr>
        <w:spacing w:after="0" w:line="323" w:lineRule="exact"/>
        <w:rPr>
          <w:sz w:val="20"/>
          <w:szCs w:val="20"/>
          <w:color w:val="auto"/>
        </w:rPr>
      </w:pPr>
    </w:p>
    <w:p>
      <w:pPr>
        <w:ind w:right="40"/>
        <w:spacing w:after="0" w:line="285" w:lineRule="auto"/>
        <w:rPr>
          <w:sz w:val="20"/>
          <w:szCs w:val="20"/>
          <w:color w:val="auto"/>
        </w:rPr>
      </w:pPr>
      <w:r>
        <w:rPr>
          <w:rFonts w:ascii="Arial" w:cs="Arial" w:eastAsia="Arial" w:hAnsi="Arial"/>
          <w:sz w:val="22"/>
          <w:szCs w:val="22"/>
          <w:color w:val="auto"/>
        </w:rPr>
        <w:t>The Site Plan Design Review (SPDR) 26-001 entitlement is to review the project’s site layout, building architecture, and landscape design and evaluate consistency with the Livermore Development Code and City's Design Standards and Guidelines. The project design meets all the applicable criteria as explained below.</w:t>
      </w:r>
    </w:p>
    <w:p>
      <w:pPr>
        <w:spacing w:after="0" w:line="242" w:lineRule="exact"/>
        <w:rPr>
          <w:sz w:val="20"/>
          <w:szCs w:val="20"/>
          <w:color w:val="auto"/>
        </w:rPr>
      </w:pPr>
    </w:p>
    <w:p>
      <w:pPr>
        <w:spacing w:after="0"/>
        <w:rPr>
          <w:sz w:val="20"/>
          <w:szCs w:val="20"/>
          <w:color w:val="auto"/>
        </w:rPr>
      </w:pPr>
      <w:r>
        <w:rPr>
          <w:rFonts w:ascii="Arial" w:cs="Arial" w:eastAsia="Arial" w:hAnsi="Arial"/>
          <w:sz w:val="22"/>
          <w:szCs w:val="22"/>
          <w:i w:val="1"/>
          <w:iCs w:val="1"/>
          <w:u w:val="single" w:color="auto"/>
          <w:color w:val="auto"/>
        </w:rPr>
        <w:t>Vehicle and Pedestrian/Bicycle Access</w:t>
      </w:r>
    </w:p>
    <w:p>
      <w:pPr>
        <w:spacing w:after="0" w:line="319" w:lineRule="exact"/>
        <w:rPr>
          <w:sz w:val="20"/>
          <w:szCs w:val="20"/>
          <w:color w:val="auto"/>
        </w:rPr>
      </w:pPr>
    </w:p>
    <w:p>
      <w:pPr>
        <w:ind w:right="60"/>
        <w:spacing w:after="0" w:line="282" w:lineRule="auto"/>
        <w:rPr>
          <w:sz w:val="20"/>
          <w:szCs w:val="20"/>
          <w:color w:val="auto"/>
        </w:rPr>
      </w:pPr>
      <w:r>
        <w:rPr>
          <w:rFonts w:ascii="Arial" w:cs="Arial" w:eastAsia="Arial" w:hAnsi="Arial"/>
          <w:sz w:val="22"/>
          <w:szCs w:val="22"/>
          <w:color w:val="auto"/>
        </w:rPr>
        <w:t>Project site access will remain consistent with existing conditions. This includes two driveways from Loyola Way – one serving the public parking lot and one serving fire station personnel with access to the rear of the fire station and reserve apparatus buildings. Additionally, the existing driveway from East Avenue will continue to provide access to the fire station apparatus bay. To accommodate the modified station layout, the East Avenue driveway will be expanded and shifted slightly to the west.</w:t>
      </w:r>
    </w:p>
    <w:p>
      <w:pPr>
        <w:spacing w:after="0" w:line="242" w:lineRule="exact"/>
        <w:rPr>
          <w:sz w:val="20"/>
          <w:szCs w:val="20"/>
          <w:color w:val="auto"/>
        </w:rPr>
      </w:pPr>
    </w:p>
    <w:p>
      <w:pPr>
        <w:ind w:right="20"/>
        <w:spacing w:after="0" w:line="335" w:lineRule="auto"/>
        <w:rPr>
          <w:sz w:val="20"/>
          <w:szCs w:val="20"/>
          <w:color w:val="auto"/>
        </w:rPr>
      </w:pPr>
      <w:r>
        <w:rPr>
          <w:rFonts w:ascii="Arial" w:cs="Arial" w:eastAsia="Arial" w:hAnsi="Arial"/>
          <w:sz w:val="21"/>
          <w:szCs w:val="21"/>
          <w:color w:val="auto"/>
        </w:rPr>
        <w:t>A security fence and access-controlled gate will be constructed along the northeastern and southwestern portions of the project site to restrict access to the site to authorized fire station personnel only. The</w:t>
      </w:r>
    </w:p>
    <w:p>
      <w:pPr>
        <w:sectPr>
          <w:pgSz w:w="12240" w:h="15840" w:orient="portrait"/>
          <w:cols w:equalWidth="0" w:num="1">
            <w:col w:w="10020"/>
          </w:cols>
          <w:pgMar w:left="1080" w:top="825" w:right="1140" w:bottom="506" w:gutter="0" w:footer="0" w:header="0"/>
        </w:sectPr>
      </w:pPr>
    </w:p>
    <w:p>
      <w:pPr>
        <w:spacing w:after="0"/>
        <w:rPr>
          <w:sz w:val="20"/>
          <w:szCs w:val="20"/>
          <w:color w:val="auto"/>
        </w:rPr>
      </w:pPr>
      <w:r>
        <w:rPr>
          <w:rFonts w:ascii="Arial" w:cs="Arial" w:eastAsia="Arial" w:hAnsi="Arial"/>
          <w:sz w:val="22"/>
          <w:szCs w:val="22"/>
          <w:color w:val="auto"/>
        </w:rPr>
        <w:t>aluminum fence and gate will be a maximum of 6 feet tall.</w:t>
      </w:r>
    </w:p>
    <w:p>
      <w:pPr>
        <w:spacing w:after="0" w:line="323" w:lineRule="exact"/>
        <w:rPr>
          <w:sz w:val="20"/>
          <w:szCs w:val="20"/>
          <w:color w:val="auto"/>
        </w:rPr>
      </w:pPr>
    </w:p>
    <w:p>
      <w:pPr>
        <w:jc w:val="both"/>
        <w:ind w:right="80"/>
        <w:spacing w:after="0" w:line="311" w:lineRule="auto"/>
        <w:rPr>
          <w:sz w:val="20"/>
          <w:szCs w:val="20"/>
          <w:color w:val="auto"/>
        </w:rPr>
      </w:pPr>
      <w:r>
        <w:rPr>
          <w:rFonts w:ascii="Arial" w:cs="Arial" w:eastAsia="Arial" w:hAnsi="Arial"/>
          <w:sz w:val="21"/>
          <w:szCs w:val="21"/>
          <w:color w:val="auto"/>
        </w:rPr>
        <w:t>During construction, an accessible pedestrian route will be maintained around the site. Upon completion of construction, pedestrian access will continue to be provided via the surrounding sidewalk network and a 5-foot-wide accessible path of travel connecting the public parking lot to the building's public entrance.</w:t>
      </w:r>
    </w:p>
    <w:p>
      <w:pPr>
        <w:spacing w:after="0" w:line="213" w:lineRule="exact"/>
        <w:rPr>
          <w:sz w:val="20"/>
          <w:szCs w:val="20"/>
          <w:color w:val="auto"/>
        </w:rPr>
      </w:pPr>
    </w:p>
    <w:p>
      <w:pPr>
        <w:ind w:right="20"/>
        <w:spacing w:after="0" w:line="282" w:lineRule="auto"/>
        <w:rPr>
          <w:sz w:val="20"/>
          <w:szCs w:val="20"/>
          <w:color w:val="auto"/>
        </w:rPr>
      </w:pPr>
      <w:r>
        <w:rPr>
          <w:rFonts w:ascii="Arial" w:cs="Arial" w:eastAsia="Arial" w:hAnsi="Arial"/>
          <w:sz w:val="22"/>
          <w:szCs w:val="22"/>
          <w:color w:val="auto"/>
        </w:rPr>
        <w:t>The project will not modify the existing bicycle lane on East Avenue, as improvements within this corridor are being implemented as part of the ongoing East Avenue Corridor Project. Under that separate project, the existing bicycle lane will be upgraded to a Class II buffered bike lane, consistent with the City's Active Transportation Plan. It should be noted that a “Keep Clear” zone will be striped on East Avenue outside of the fire station apparatus bay as part of the East Avenue Corridor Project.</w:t>
      </w:r>
    </w:p>
    <w:p>
      <w:pPr>
        <w:spacing w:after="0" w:line="246" w:lineRule="exact"/>
        <w:rPr>
          <w:sz w:val="20"/>
          <w:szCs w:val="20"/>
          <w:color w:val="auto"/>
        </w:rPr>
      </w:pPr>
    </w:p>
    <w:p>
      <w:pPr>
        <w:spacing w:after="0"/>
        <w:rPr>
          <w:sz w:val="20"/>
          <w:szCs w:val="20"/>
          <w:color w:val="auto"/>
        </w:rPr>
      </w:pPr>
      <w:r>
        <w:rPr>
          <w:rFonts w:ascii="Arial" w:cs="Arial" w:eastAsia="Arial" w:hAnsi="Arial"/>
          <w:sz w:val="22"/>
          <w:szCs w:val="22"/>
          <w:i w:val="1"/>
          <w:iCs w:val="1"/>
          <w:u w:val="single" w:color="auto"/>
          <w:color w:val="auto"/>
        </w:rPr>
        <w:t>Parking</w:t>
      </w:r>
    </w:p>
    <w:p>
      <w:pPr>
        <w:spacing w:after="0" w:line="319" w:lineRule="exact"/>
        <w:rPr>
          <w:sz w:val="20"/>
          <w:szCs w:val="20"/>
          <w:color w:val="auto"/>
        </w:rPr>
      </w:pPr>
    </w:p>
    <w:p>
      <w:pPr>
        <w:spacing w:after="0" w:line="282" w:lineRule="auto"/>
        <w:rPr>
          <w:sz w:val="20"/>
          <w:szCs w:val="20"/>
          <w:color w:val="auto"/>
        </w:rPr>
      </w:pPr>
      <w:r>
        <w:rPr>
          <w:rFonts w:ascii="Arial" w:cs="Arial" w:eastAsia="Arial" w:hAnsi="Arial"/>
          <w:sz w:val="22"/>
          <w:szCs w:val="22"/>
          <w:color w:val="auto"/>
        </w:rPr>
        <w:t>The project site currently provides seven public parking spaces and 16 personnel parking spaces. The Livermore Development Code does not establish parking requirements for fire stations. Pursuant to Section 4.04.020 of the Livermore Development Code, parking requirements for unlisted land use categories may be determined by the Community Development Director based on available data and in a manner consistent with the intent of the Development Code.</w:t>
      </w:r>
    </w:p>
    <w:p>
      <w:pPr>
        <w:spacing w:after="0" w:line="242" w:lineRule="exact"/>
        <w:rPr>
          <w:sz w:val="20"/>
          <w:szCs w:val="20"/>
          <w:color w:val="auto"/>
        </w:rPr>
      </w:pPr>
    </w:p>
    <w:p>
      <w:pPr>
        <w:ind w:right="60"/>
        <w:spacing w:after="0" w:line="285" w:lineRule="auto"/>
        <w:rPr>
          <w:sz w:val="20"/>
          <w:szCs w:val="20"/>
          <w:color w:val="auto"/>
        </w:rPr>
      </w:pPr>
      <w:r>
        <w:rPr>
          <w:rFonts w:ascii="Arial" w:cs="Arial" w:eastAsia="Arial" w:hAnsi="Arial"/>
          <w:sz w:val="22"/>
          <w:szCs w:val="22"/>
          <w:color w:val="auto"/>
        </w:rPr>
        <w:t>City staff coordinated with Livermore-Pleasanton Fire Department staff to determine the appropriate parking demand for the proposed fire station. Based on historical data regarding public visitation and the number of on-duty fire station personnel, staff determined that four public parking spaces and nine LPFD personnel parking spaces are sufficient to serve the facility.</w:t>
      </w:r>
    </w:p>
    <w:p>
      <w:pPr>
        <w:spacing w:after="0" w:line="238" w:lineRule="exact"/>
        <w:rPr>
          <w:sz w:val="20"/>
          <w:szCs w:val="20"/>
          <w:color w:val="auto"/>
        </w:rPr>
      </w:pPr>
    </w:p>
    <w:p>
      <w:pPr>
        <w:ind w:right="440"/>
        <w:spacing w:after="0" w:line="291" w:lineRule="auto"/>
        <w:rPr>
          <w:sz w:val="20"/>
          <w:szCs w:val="20"/>
          <w:color w:val="auto"/>
        </w:rPr>
      </w:pPr>
      <w:r>
        <w:rPr>
          <w:rFonts w:ascii="Arial" w:cs="Arial" w:eastAsia="Arial" w:hAnsi="Arial"/>
          <w:sz w:val="22"/>
          <w:szCs w:val="22"/>
          <w:color w:val="auto"/>
        </w:rPr>
        <w:t>The proposed public parking area consists of three standard parking spaces and one van-accessible parking space that complies with the ADA requirements. One of the standard parking stalls will be equipped with an electric vehicle (EV) charging station.</w:t>
      </w:r>
    </w:p>
    <w:p>
      <w:pPr>
        <w:spacing w:after="0" w:line="232" w:lineRule="exact"/>
        <w:rPr>
          <w:sz w:val="20"/>
          <w:szCs w:val="20"/>
          <w:color w:val="auto"/>
        </w:rPr>
      </w:pPr>
    </w:p>
    <w:p>
      <w:pPr>
        <w:ind w:right="220"/>
        <w:spacing w:after="0" w:line="285" w:lineRule="auto"/>
        <w:rPr>
          <w:sz w:val="20"/>
          <w:szCs w:val="20"/>
          <w:color w:val="auto"/>
        </w:rPr>
      </w:pPr>
      <w:r>
        <w:rPr>
          <w:rFonts w:ascii="Arial" w:cs="Arial" w:eastAsia="Arial" w:hAnsi="Arial"/>
          <w:sz w:val="22"/>
          <w:szCs w:val="22"/>
          <w:color w:val="auto"/>
        </w:rPr>
        <w:t>Currently, the site does not provide bicycle parking. The project proposes four public bicycle parking spaces located near the public entrance to the fire station, as well as one double storage bicycle locker for fire station personnel located adjacent to the trash enclosure. The public bicycle parking spaces will feature staple-style racks consistent with the City’s Active Transportation Plan.</w:t>
      </w:r>
    </w:p>
    <w:p>
      <w:pPr>
        <w:spacing w:after="0" w:line="238"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Trash Enclosure</w:t>
      </w:r>
    </w:p>
    <w:p>
      <w:pPr>
        <w:spacing w:after="0" w:line="323" w:lineRule="exact"/>
        <w:rPr>
          <w:sz w:val="20"/>
          <w:szCs w:val="20"/>
          <w:color w:val="auto"/>
        </w:rPr>
      </w:pPr>
    </w:p>
    <w:p>
      <w:pPr>
        <w:ind w:right="420"/>
        <w:spacing w:after="0" w:line="298" w:lineRule="auto"/>
        <w:rPr>
          <w:sz w:val="20"/>
          <w:szCs w:val="20"/>
          <w:color w:val="auto"/>
        </w:rPr>
      </w:pPr>
      <w:r>
        <w:rPr>
          <w:rFonts w:ascii="Arial" w:cs="Arial" w:eastAsia="Arial" w:hAnsi="Arial"/>
          <w:sz w:val="21"/>
          <w:szCs w:val="21"/>
          <w:color w:val="auto"/>
        </w:rPr>
        <w:t>The trash enclosure will be located behind the security fence and adjacent to fire station personnel parking. The trash enclosure will be approximately 12 feet, 8 inches by 18 feet in size and will be constructed with split face concrete masonry unit (CMU) blocks and a standing seam metal roof. The trash enclosure will be screened with trees, grasses, and perennial landscaping. The enclosure is designed to comply with all applicable development regulations and design standards.</w:t>
      </w:r>
    </w:p>
    <w:p>
      <w:pPr>
        <w:spacing w:after="0" w:line="229"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Generator and Fuel Tank</w:t>
      </w:r>
    </w:p>
    <w:p>
      <w:pPr>
        <w:spacing w:after="0" w:line="323" w:lineRule="exact"/>
        <w:rPr>
          <w:sz w:val="20"/>
          <w:szCs w:val="20"/>
          <w:color w:val="auto"/>
        </w:rPr>
      </w:pPr>
    </w:p>
    <w:p>
      <w:pPr>
        <w:ind w:right="60"/>
        <w:spacing w:after="0" w:line="311" w:lineRule="auto"/>
        <w:rPr>
          <w:sz w:val="20"/>
          <w:szCs w:val="20"/>
          <w:color w:val="auto"/>
        </w:rPr>
      </w:pPr>
      <w:r>
        <w:rPr>
          <w:rFonts w:ascii="Arial" w:cs="Arial" w:eastAsia="Arial" w:hAnsi="Arial"/>
          <w:sz w:val="21"/>
          <w:szCs w:val="21"/>
          <w:color w:val="auto"/>
        </w:rPr>
        <w:t>The project includes an emergency generator and fuel tank located to the rear of the fire station building. The generator will be approximately 15 feet in height and will be fully enclosed within a split face CMU screen wall. The fuel tank will be sheltered by an approximately 11-foot, 3-inch-high structure with a</w:t>
      </w:r>
    </w:p>
    <w:p>
      <w:pPr>
        <w:sectPr>
          <w:pgSz w:w="12240" w:h="15840" w:orient="portrait"/>
          <w:cols w:equalWidth="0" w:num="1">
            <w:col w:w="10020"/>
          </w:cols>
          <w:pgMar w:left="1080" w:top="871" w:right="1140" w:bottom="793" w:gutter="0" w:footer="0" w:header="0"/>
        </w:sectPr>
      </w:pPr>
    </w:p>
    <w:p>
      <w:pPr>
        <w:spacing w:after="0"/>
        <w:rPr>
          <w:sz w:val="20"/>
          <w:szCs w:val="20"/>
          <w:color w:val="auto"/>
        </w:rPr>
      </w:pPr>
      <w:r>
        <w:rPr>
          <w:rFonts w:ascii="Arial" w:cs="Arial" w:eastAsia="Arial" w:hAnsi="Arial"/>
          <w:sz w:val="22"/>
          <w:szCs w:val="22"/>
          <w:color w:val="auto"/>
        </w:rPr>
        <w:t>standing seam metal roof.</w:t>
      </w:r>
    </w:p>
    <w:p>
      <w:pPr>
        <w:spacing w:after="0" w:line="322" w:lineRule="exact"/>
        <w:rPr>
          <w:sz w:val="20"/>
          <w:szCs w:val="20"/>
          <w:color w:val="auto"/>
        </w:rPr>
      </w:pPr>
    </w:p>
    <w:p>
      <w:pPr>
        <w:ind w:right="40"/>
        <w:spacing w:after="0" w:line="335" w:lineRule="auto"/>
        <w:rPr>
          <w:sz w:val="20"/>
          <w:szCs w:val="20"/>
          <w:color w:val="auto"/>
        </w:rPr>
      </w:pPr>
      <w:r>
        <w:rPr>
          <w:rFonts w:ascii="Arial" w:cs="Arial" w:eastAsia="Arial" w:hAnsi="Arial"/>
          <w:sz w:val="21"/>
          <w:szCs w:val="21"/>
          <w:color w:val="auto"/>
        </w:rPr>
        <w:t>The emergency generator and fuel tank are essential components of the fire station’s operations and are designed in a manner consistent with all applicable development regulations and design standards.</w:t>
      </w:r>
    </w:p>
    <w:p>
      <w:pPr>
        <w:spacing w:after="0" w:line="190"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Architecture</w:t>
      </w:r>
    </w:p>
    <w:p>
      <w:pPr>
        <w:spacing w:after="0" w:line="323" w:lineRule="exact"/>
        <w:rPr>
          <w:sz w:val="20"/>
          <w:szCs w:val="20"/>
          <w:color w:val="auto"/>
        </w:rPr>
      </w:pPr>
    </w:p>
    <w:p>
      <w:pPr>
        <w:spacing w:after="0" w:line="285" w:lineRule="auto"/>
        <w:rPr>
          <w:sz w:val="20"/>
          <w:szCs w:val="20"/>
          <w:color w:val="auto"/>
        </w:rPr>
      </w:pPr>
      <w:r>
        <w:rPr>
          <w:rFonts w:ascii="Arial" w:cs="Arial" w:eastAsia="Arial" w:hAnsi="Arial"/>
          <w:sz w:val="22"/>
          <w:szCs w:val="22"/>
          <w:color w:val="auto"/>
        </w:rPr>
        <w:t>The City does not have specific design standards and guidelines for a fire station. Staff applied basic principles set forth in the City's Design Standards and Guidelines when reviewing the project design. The architectural design is consistent with the applicable provisions of the Design Standards and Guidelines as described below.</w:t>
      </w:r>
    </w:p>
    <w:p>
      <w:pPr>
        <w:spacing w:after="0" w:line="238" w:lineRule="exact"/>
        <w:rPr>
          <w:sz w:val="20"/>
          <w:szCs w:val="20"/>
          <w:color w:val="auto"/>
        </w:rPr>
      </w:pPr>
    </w:p>
    <w:p>
      <w:pPr>
        <w:ind w:right="40"/>
        <w:spacing w:after="0" w:line="298" w:lineRule="auto"/>
        <w:rPr>
          <w:sz w:val="20"/>
          <w:szCs w:val="20"/>
          <w:color w:val="auto"/>
        </w:rPr>
      </w:pPr>
      <w:r>
        <w:rPr>
          <w:rFonts w:ascii="Arial" w:cs="Arial" w:eastAsia="Arial" w:hAnsi="Arial"/>
          <w:sz w:val="21"/>
          <w:szCs w:val="21"/>
          <w:color w:val="auto"/>
        </w:rPr>
        <w:t>The fire station building will be a single-story contemporary civic building featuring modern agrarian and Craftsman design influences. The central portion of the fire station will be the apparatus bay that provides parking for the fire trucks and engines. The east wing of the building includes the living and sleeping quarters, office space, multi-purpose room and the Centennial Light Bulb display. The west wing of the building includes a fitness room, decontamination room, workshop space, and storage areas.</w:t>
      </w:r>
    </w:p>
    <w:p>
      <w:pPr>
        <w:spacing w:after="0" w:line="229" w:lineRule="exact"/>
        <w:rPr>
          <w:sz w:val="20"/>
          <w:szCs w:val="20"/>
          <w:color w:val="auto"/>
        </w:rPr>
      </w:pPr>
    </w:p>
    <w:p>
      <w:pPr>
        <w:ind w:right="40"/>
        <w:spacing w:after="0" w:line="286" w:lineRule="auto"/>
        <w:rPr>
          <w:sz w:val="20"/>
          <w:szCs w:val="20"/>
          <w:color w:val="auto"/>
        </w:rPr>
      </w:pPr>
      <w:r>
        <w:rPr>
          <w:rFonts w:ascii="Arial" w:cs="Arial" w:eastAsia="Arial" w:hAnsi="Arial"/>
          <w:sz w:val="21"/>
          <w:szCs w:val="21"/>
          <w:color w:val="auto"/>
        </w:rPr>
        <w:t>A prominent architectural feature of the fire station is the apparatus bay doors, which are designed with insulated slats to help regulate interior temperatures. Exterior façade materials will include painted board and batten siding, cement plaster, and a brick veneer wainscot, complemented by exposed natural wood framing and accents. The exterior color palette will consist of gray, beige, bronze, and black tones that complement the building's modern architectural design. Refer to Sheets A3.11 and A3.12 in Attachment</w:t>
      </w:r>
    </w:p>
    <w:p>
      <w:pPr>
        <w:spacing w:after="0" w:line="5" w:lineRule="exact"/>
        <w:rPr>
          <w:sz w:val="20"/>
          <w:szCs w:val="20"/>
          <w:color w:val="auto"/>
        </w:rPr>
      </w:pPr>
    </w:p>
    <w:p>
      <w:pPr>
        <w:ind w:right="80"/>
        <w:spacing w:after="0" w:line="306" w:lineRule="auto"/>
        <w:tabs>
          <w:tab w:leader="none" w:pos="240" w:val="left"/>
        </w:tabs>
        <w:numPr>
          <w:ilvl w:val="0"/>
          <w:numId w:val="2"/>
        </w:numPr>
        <w:rPr>
          <w:rFonts w:ascii="Arial" w:cs="Arial" w:eastAsia="Arial" w:hAnsi="Arial"/>
          <w:sz w:val="22"/>
          <w:szCs w:val="22"/>
          <w:color w:val="auto"/>
        </w:rPr>
      </w:pPr>
      <w:r>
        <w:rPr>
          <w:rFonts w:ascii="Arial" w:cs="Arial" w:eastAsia="Arial" w:hAnsi="Arial"/>
          <w:sz w:val="22"/>
          <w:szCs w:val="22"/>
          <w:color w:val="auto"/>
        </w:rPr>
        <w:t>The fire station will feature a combination of gable and cross-gable roofs clad in standing seam metal, along with clerestory windows on the north and south elevations.</w:t>
      </w:r>
    </w:p>
    <w:p>
      <w:pPr>
        <w:spacing w:after="0" w:line="215" w:lineRule="exact"/>
        <w:rPr>
          <w:sz w:val="20"/>
          <w:szCs w:val="20"/>
          <w:color w:val="auto"/>
        </w:rPr>
      </w:pPr>
    </w:p>
    <w:p>
      <w:pPr>
        <w:ind w:right="200"/>
        <w:spacing w:after="0" w:line="285" w:lineRule="auto"/>
        <w:rPr>
          <w:sz w:val="20"/>
          <w:szCs w:val="20"/>
          <w:color w:val="auto"/>
        </w:rPr>
      </w:pPr>
      <w:r>
        <w:rPr>
          <w:rFonts w:ascii="Arial" w:cs="Arial" w:eastAsia="Arial" w:hAnsi="Arial"/>
          <w:sz w:val="22"/>
          <w:szCs w:val="22"/>
          <w:color w:val="auto"/>
        </w:rPr>
        <w:t>The reserve apparatus building architecture will incorporate the same architectural character and material palette as the main fire station to provide a cohesive design. The reserve apparatus building’s roof, however, will transition from a gabled roof to a flat roof on the western portion of the building. This transition is intentional and is designed to provide a training area for the LPFD.</w:t>
      </w:r>
    </w:p>
    <w:p>
      <w:pPr>
        <w:spacing w:after="0" w:line="238" w:lineRule="exact"/>
        <w:rPr>
          <w:sz w:val="20"/>
          <w:szCs w:val="20"/>
          <w:color w:val="auto"/>
        </w:rPr>
      </w:pPr>
    </w:p>
    <w:p>
      <w:pPr>
        <w:ind w:right="120"/>
        <w:spacing w:after="0" w:line="279" w:lineRule="auto"/>
        <w:rPr>
          <w:sz w:val="20"/>
          <w:szCs w:val="20"/>
          <w:color w:val="auto"/>
        </w:rPr>
      </w:pPr>
      <w:r>
        <w:rPr>
          <w:rFonts w:ascii="Arial" w:cs="Arial" w:eastAsia="Arial" w:hAnsi="Arial"/>
          <w:sz w:val="22"/>
          <w:szCs w:val="22"/>
          <w:color w:val="auto"/>
        </w:rPr>
        <w:t>The fire station building is oriented toward East Avenue. The building mass is divided into smaller components that are scaled to the pedestrian environment. In addition, variations in the roofline and exterior wall planes reduce the perceived massing of the building and provide architectural articulation. The windows are recessed to provide visual depth and architectural relief. The reserve apparatus building is designed to complement the fire station, incorporating a similar architectural style and matching apparatus bay doors to maintain a cohesive design while balancing functional and operational needs.</w:t>
      </w:r>
    </w:p>
    <w:p>
      <w:pPr>
        <w:spacing w:after="0" w:line="245"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Landscaping</w:t>
      </w:r>
    </w:p>
    <w:p>
      <w:pPr>
        <w:spacing w:after="0" w:line="327" w:lineRule="exact"/>
        <w:rPr>
          <w:sz w:val="20"/>
          <w:szCs w:val="20"/>
          <w:color w:val="auto"/>
        </w:rPr>
      </w:pPr>
    </w:p>
    <w:p>
      <w:pPr>
        <w:spacing w:after="0"/>
        <w:rPr>
          <w:sz w:val="20"/>
          <w:szCs w:val="20"/>
          <w:color w:val="auto"/>
        </w:rPr>
      </w:pPr>
      <w:r>
        <w:rPr>
          <w:rFonts w:ascii="Arial" w:cs="Arial" w:eastAsia="Arial" w:hAnsi="Arial"/>
          <w:sz w:val="22"/>
          <w:szCs w:val="22"/>
          <w:i w:val="1"/>
          <w:iCs w:val="1"/>
          <w:u w:val="single" w:color="auto"/>
          <w:color w:val="auto"/>
        </w:rPr>
        <w:t>Planting and Tree Removal</w:t>
      </w:r>
    </w:p>
    <w:p>
      <w:pPr>
        <w:spacing w:after="0" w:line="319" w:lineRule="exact"/>
        <w:rPr>
          <w:sz w:val="20"/>
          <w:szCs w:val="20"/>
          <w:color w:val="auto"/>
        </w:rPr>
      </w:pPr>
    </w:p>
    <w:p>
      <w:pPr>
        <w:ind w:right="40"/>
        <w:spacing w:after="0" w:line="282" w:lineRule="auto"/>
        <w:rPr>
          <w:sz w:val="20"/>
          <w:szCs w:val="20"/>
          <w:color w:val="auto"/>
        </w:rPr>
      </w:pPr>
      <w:r>
        <w:rPr>
          <w:rFonts w:ascii="Arial" w:cs="Arial" w:eastAsia="Arial" w:hAnsi="Arial"/>
          <w:sz w:val="22"/>
          <w:szCs w:val="22"/>
          <w:color w:val="auto"/>
        </w:rPr>
        <w:t>The proposed planting plan for the project includes a variety of trees, shrubs, groundcovers, grasses, and perennials distributed throughout the site and around the proposed buildings. Proposed tree species include Western Redbud, Australian Willow, Saratoga Sweet Bay, Coast Live Oak, Canyon Live Oak, and Toyon. Approximately 70 percent of the proposed trees are native species, and the majority of the remaining landscape palette consists of native plants and pollinator-supporting species.</w:t>
      </w:r>
    </w:p>
    <w:p>
      <w:pPr>
        <w:sectPr>
          <w:pgSz w:w="12240" w:h="15840" w:orient="portrait"/>
          <w:cols w:equalWidth="0" w:num="1">
            <w:col w:w="10000"/>
          </w:cols>
          <w:pgMar w:left="1080" w:top="825" w:right="1160" w:bottom="582" w:gutter="0" w:footer="0" w:header="0"/>
        </w:sectPr>
      </w:pPr>
    </w:p>
    <w:p>
      <w:pPr>
        <w:ind w:right="580"/>
        <w:spacing w:after="0" w:line="309" w:lineRule="auto"/>
        <w:rPr>
          <w:sz w:val="20"/>
          <w:szCs w:val="20"/>
          <w:color w:val="auto"/>
        </w:rPr>
      </w:pPr>
      <w:r>
        <w:rPr>
          <w:rFonts w:ascii="Arial" w:cs="Arial" w:eastAsia="Arial" w:hAnsi="Arial"/>
          <w:sz w:val="22"/>
          <w:szCs w:val="22"/>
          <w:color w:val="auto"/>
        </w:rPr>
        <w:t>The project site includes 33 existing trees. Project construction will require the removal of 32 trees, including 23 protected trees and six street trees.</w:t>
      </w:r>
    </w:p>
    <w:p>
      <w:pPr>
        <w:spacing w:after="0" w:line="213" w:lineRule="exact"/>
        <w:rPr>
          <w:sz w:val="20"/>
          <w:szCs w:val="20"/>
          <w:color w:val="auto"/>
        </w:rPr>
      </w:pPr>
    </w:p>
    <w:p>
      <w:pPr>
        <w:ind w:right="80"/>
        <w:spacing w:after="0" w:line="282" w:lineRule="auto"/>
        <w:rPr>
          <w:sz w:val="20"/>
          <w:szCs w:val="20"/>
          <w:color w:val="auto"/>
        </w:rPr>
      </w:pPr>
      <w:r>
        <w:rPr>
          <w:rFonts w:ascii="Arial" w:cs="Arial" w:eastAsia="Arial" w:hAnsi="Arial"/>
          <w:sz w:val="22"/>
          <w:szCs w:val="22"/>
          <w:color w:val="auto"/>
        </w:rPr>
        <w:t>Livermore Municipal Code Chapter 12.20 outlines the requirements for tree replacement. Specifically, Chapter 12.20 requires three trees of a minimum 15-gallon size, or two trees of a minimum 24-inch box size, or one tree of 48-inch box size for each tree removed. The minimum tree replacement requirement applies to all 32 trees proposed for removal since the trees are either protected or were part of the original site plan approval.</w:t>
      </w:r>
    </w:p>
    <w:p>
      <w:pPr>
        <w:spacing w:after="0" w:line="242" w:lineRule="exact"/>
        <w:rPr>
          <w:sz w:val="20"/>
          <w:szCs w:val="20"/>
          <w:color w:val="auto"/>
        </w:rPr>
      </w:pPr>
    </w:p>
    <w:p>
      <w:pPr>
        <w:ind w:right="180"/>
        <w:spacing w:after="0" w:line="302" w:lineRule="auto"/>
        <w:rPr>
          <w:sz w:val="20"/>
          <w:szCs w:val="20"/>
          <w:color w:val="auto"/>
        </w:rPr>
      </w:pPr>
      <w:r>
        <w:rPr>
          <w:rFonts w:ascii="Arial" w:cs="Arial" w:eastAsia="Arial" w:hAnsi="Arial"/>
          <w:sz w:val="21"/>
          <w:szCs w:val="21"/>
          <w:color w:val="auto"/>
        </w:rPr>
        <w:t>The Project proposes to plant 18 new trees, including five 48-inch box and 13 24-inch box trees. This accounts for 11.5 tree replacement credits as defined by Chapter 12.20. Therefore, the project must provide 20.5 additional replacement credits. There is insufficient room to plant the remaining 20.5 trees required within the project site. Therefore, staff recommends the following condition of approval:</w:t>
      </w:r>
    </w:p>
    <w:p>
      <w:pPr>
        <w:spacing w:after="0" w:line="225" w:lineRule="exact"/>
        <w:rPr>
          <w:sz w:val="20"/>
          <w:szCs w:val="20"/>
          <w:color w:val="auto"/>
        </w:rPr>
      </w:pPr>
    </w:p>
    <w:p>
      <w:pPr>
        <w:ind w:right="60"/>
        <w:spacing w:after="0" w:line="279" w:lineRule="auto"/>
        <w:rPr>
          <w:sz w:val="20"/>
          <w:szCs w:val="20"/>
          <w:color w:val="auto"/>
        </w:rPr>
      </w:pPr>
      <w:r>
        <w:rPr>
          <w:rFonts w:ascii="Arial" w:cs="Arial" w:eastAsia="Arial" w:hAnsi="Arial"/>
          <w:sz w:val="22"/>
          <w:szCs w:val="22"/>
          <w:u w:val="single" w:color="auto"/>
          <w:color w:val="auto"/>
        </w:rPr>
        <w:t>Recommended condition</w:t>
      </w:r>
      <w:r>
        <w:rPr>
          <w:rFonts w:ascii="Arial" w:cs="Arial" w:eastAsia="Arial" w:hAnsi="Arial"/>
          <w:sz w:val="22"/>
          <w:szCs w:val="22"/>
          <w:color w:val="auto"/>
        </w:rPr>
        <w:t>: Prior to issuance of a Building Permit, the applicant shall coordinate with Livermore Area Recreation and Park District to evaluate the feasibility of planting the remaining required replacement trees, or a portion thereof, within the Robert Livermore Community Center and Park and/or within other LARPD park locations. To the extent feasible, replacement trees shall be California native tree species as defined by Livermore Municipal Code Chapter 12.20.160(B). If the tree replacement requirement cannot be fully satisfied, the applicant shall provide payment to the urban forestry maintenance fund in accordance with Livermore Municipal Code Chapter 12.20.</w:t>
      </w:r>
    </w:p>
    <w:p>
      <w:pPr>
        <w:spacing w:after="0" w:line="245" w:lineRule="exact"/>
        <w:rPr>
          <w:sz w:val="20"/>
          <w:szCs w:val="20"/>
          <w:color w:val="auto"/>
        </w:rPr>
      </w:pPr>
    </w:p>
    <w:p>
      <w:pPr>
        <w:ind w:right="180"/>
        <w:spacing w:after="0" w:line="309" w:lineRule="auto"/>
        <w:rPr>
          <w:sz w:val="20"/>
          <w:szCs w:val="20"/>
          <w:color w:val="auto"/>
        </w:rPr>
      </w:pPr>
      <w:r>
        <w:rPr>
          <w:rFonts w:ascii="Arial" w:cs="Arial" w:eastAsia="Arial" w:hAnsi="Arial"/>
          <w:sz w:val="22"/>
          <w:szCs w:val="22"/>
          <w:color w:val="auto"/>
        </w:rPr>
        <w:t>The project complies with all other applicable landscaping regulations including parking lot landscaping requirements and the City’s Water Efficient Landscape Ordinance.</w:t>
      </w:r>
    </w:p>
    <w:p>
      <w:pPr>
        <w:spacing w:after="0" w:line="217" w:lineRule="exact"/>
        <w:rPr>
          <w:sz w:val="20"/>
          <w:szCs w:val="20"/>
          <w:color w:val="auto"/>
        </w:rPr>
      </w:pPr>
    </w:p>
    <w:p>
      <w:pPr>
        <w:spacing w:after="0"/>
        <w:rPr>
          <w:sz w:val="20"/>
          <w:szCs w:val="20"/>
          <w:color w:val="auto"/>
        </w:rPr>
      </w:pPr>
      <w:r>
        <w:rPr>
          <w:rFonts w:ascii="Arial" w:cs="Arial" w:eastAsia="Arial" w:hAnsi="Arial"/>
          <w:sz w:val="22"/>
          <w:szCs w:val="22"/>
          <w:i w:val="1"/>
          <w:iCs w:val="1"/>
          <w:u w:val="single" w:color="auto"/>
          <w:color w:val="auto"/>
        </w:rPr>
        <w:t>Perimeter Wall</w:t>
      </w:r>
    </w:p>
    <w:p>
      <w:pPr>
        <w:spacing w:after="0" w:line="319" w:lineRule="exact"/>
        <w:rPr>
          <w:sz w:val="20"/>
          <w:szCs w:val="20"/>
          <w:color w:val="auto"/>
        </w:rPr>
      </w:pPr>
    </w:p>
    <w:p>
      <w:pPr>
        <w:spacing w:after="0" w:line="280" w:lineRule="auto"/>
        <w:rPr>
          <w:sz w:val="20"/>
          <w:szCs w:val="20"/>
          <w:color w:val="auto"/>
        </w:rPr>
      </w:pPr>
      <w:r>
        <w:rPr>
          <w:rFonts w:ascii="Arial" w:cs="Arial" w:eastAsia="Arial" w:hAnsi="Arial"/>
          <w:sz w:val="22"/>
          <w:szCs w:val="22"/>
          <w:color w:val="auto"/>
        </w:rPr>
        <w:t>A split face CMU wall will be constructed along the northern and western perimeters of the project site. The wall design incorporates vertical CMU pilasters spaced approximately 25 feet on center. The pilasters will be created by transitioning from 8-inch CMU wall blocks to 12-inch CMU blocks at each pilaster, resulting in a 4-inch offset that provides visual relief and articulation along the wall. Each pilaster will be topped with a 2-inch concrete cap and wrapped in brick veneer to complement the architectural design of the fire station.</w:t>
      </w:r>
    </w:p>
    <w:p>
      <w:pPr>
        <w:spacing w:after="0" w:line="245" w:lineRule="exact"/>
        <w:rPr>
          <w:sz w:val="20"/>
          <w:szCs w:val="20"/>
          <w:color w:val="auto"/>
        </w:rPr>
      </w:pPr>
    </w:p>
    <w:p>
      <w:pPr>
        <w:jc w:val="both"/>
        <w:ind w:right="200"/>
        <w:spacing w:after="0" w:line="291" w:lineRule="auto"/>
        <w:rPr>
          <w:sz w:val="20"/>
          <w:szCs w:val="20"/>
          <w:color w:val="auto"/>
        </w:rPr>
      </w:pPr>
      <w:r>
        <w:rPr>
          <w:rFonts w:ascii="Arial" w:cs="Arial" w:eastAsia="Arial" w:hAnsi="Arial"/>
          <w:sz w:val="22"/>
          <w:szCs w:val="22"/>
          <w:color w:val="auto"/>
        </w:rPr>
        <w:t>The proposed wall design is consistent with the Livermore Design Standards and Guidelines for walls, particularly the objective of breaking up long wall expanses through changes in wall plane and material to create visual interest and architectural articulation.</w:t>
      </w:r>
    </w:p>
    <w:p>
      <w:pPr>
        <w:spacing w:after="0" w:line="232" w:lineRule="exact"/>
        <w:rPr>
          <w:sz w:val="20"/>
          <w:szCs w:val="20"/>
          <w:color w:val="auto"/>
        </w:rPr>
      </w:pPr>
    </w:p>
    <w:p>
      <w:pPr>
        <w:jc w:val="both"/>
        <w:ind w:right="200"/>
        <w:spacing w:after="0" w:line="291" w:lineRule="auto"/>
        <w:rPr>
          <w:sz w:val="20"/>
          <w:szCs w:val="20"/>
          <w:color w:val="auto"/>
        </w:rPr>
      </w:pPr>
      <w:r>
        <w:rPr>
          <w:rFonts w:ascii="Arial" w:cs="Arial" w:eastAsia="Arial" w:hAnsi="Arial"/>
          <w:sz w:val="22"/>
          <w:szCs w:val="22"/>
          <w:color w:val="auto"/>
        </w:rPr>
        <w:t>Due to variations in site elevation, the wall will be approximately 6 feet high near East Avenue and will gradually increase to a maximum height of 10 feet along the northwestern portion of the site. Along the northeastern portion of the site, the wall will transition to a maximum height of 8 feet.</w:t>
      </w:r>
    </w:p>
    <w:p>
      <w:pPr>
        <w:spacing w:after="0" w:line="232" w:lineRule="exact"/>
        <w:rPr>
          <w:sz w:val="20"/>
          <w:szCs w:val="20"/>
          <w:color w:val="auto"/>
        </w:rPr>
      </w:pPr>
    </w:p>
    <w:p>
      <w:pPr>
        <w:ind w:right="60"/>
        <w:spacing w:after="0" w:line="298" w:lineRule="auto"/>
        <w:rPr>
          <w:sz w:val="20"/>
          <w:szCs w:val="20"/>
          <w:color w:val="auto"/>
        </w:rPr>
      </w:pPr>
      <w:r>
        <w:rPr>
          <w:rFonts w:ascii="Arial" w:cs="Arial" w:eastAsia="Arial" w:hAnsi="Arial"/>
          <w:sz w:val="21"/>
          <w:szCs w:val="21"/>
          <w:color w:val="auto"/>
        </w:rPr>
        <w:t>The increased wall height along the northwestern perimeter is necessary due to the existing grade differential between the project site and the adjacent community center property, as well as the need to raise the elevation of the northwestern portion of the site to accommodate the sewer connection to the reserve apparatus bay. Fill will be placed in this area to establish a more consistent site grade and ensure that wastewater flows by gravity south toward East Avenue. The site elevation will also be raised</w:t>
      </w:r>
    </w:p>
    <w:p>
      <w:pPr>
        <w:sectPr>
          <w:pgSz w:w="12240" w:h="15840" w:orient="portrait"/>
          <w:cols w:equalWidth="0" w:num="1">
            <w:col w:w="9980"/>
          </w:cols>
          <w:pgMar w:left="1080" w:top="1135" w:right="1180" w:bottom="545" w:gutter="0" w:footer="0" w:header="0"/>
        </w:sectPr>
      </w:pPr>
    </w:p>
    <w:p>
      <w:pPr>
        <w:ind w:right="540"/>
        <w:spacing w:after="0" w:line="309" w:lineRule="auto"/>
        <w:rPr>
          <w:sz w:val="20"/>
          <w:szCs w:val="20"/>
          <w:color w:val="auto"/>
        </w:rPr>
      </w:pPr>
      <w:r>
        <w:rPr>
          <w:rFonts w:ascii="Arial" w:cs="Arial" w:eastAsia="Arial" w:hAnsi="Arial"/>
          <w:sz w:val="22"/>
          <w:szCs w:val="22"/>
          <w:color w:val="auto"/>
        </w:rPr>
        <w:t>to accommodate proper stormwater capture and treatment. As a result, the perimeter wall along the northwestern and northeastern portions of the site will be taller than in other areas.</w:t>
      </w:r>
    </w:p>
    <w:p>
      <w:pPr>
        <w:spacing w:after="0" w:line="213" w:lineRule="exact"/>
        <w:rPr>
          <w:sz w:val="20"/>
          <w:szCs w:val="20"/>
          <w:color w:val="auto"/>
        </w:rPr>
      </w:pPr>
    </w:p>
    <w:p>
      <w:pPr>
        <w:ind w:right="340"/>
        <w:spacing w:after="0" w:line="282" w:lineRule="auto"/>
        <w:rPr>
          <w:sz w:val="20"/>
          <w:szCs w:val="20"/>
          <w:color w:val="auto"/>
        </w:rPr>
      </w:pPr>
      <w:r>
        <w:rPr>
          <w:rFonts w:ascii="Arial" w:cs="Arial" w:eastAsia="Arial" w:hAnsi="Arial"/>
          <w:sz w:val="22"/>
          <w:szCs w:val="22"/>
          <w:color w:val="auto"/>
        </w:rPr>
        <w:t>The increased wall height will provide enhanced security and privacy for the fire station and its personnel. Under Livermore Development Code Section 4.05.040, fences exceeding six feet in height may be permitted when adjacent to private and public recreation courts, fields, or similar play areas. Because the project site is adjacent to the Robert Livermore Community Center and Park, staff has determined that the proposed wall is consistent with the intent of this allowance.</w:t>
      </w:r>
    </w:p>
    <w:p>
      <w:pPr>
        <w:spacing w:after="0" w:line="242" w:lineRule="exact"/>
        <w:rPr>
          <w:sz w:val="20"/>
          <w:szCs w:val="20"/>
          <w:color w:val="auto"/>
        </w:rPr>
      </w:pPr>
    </w:p>
    <w:p>
      <w:pPr>
        <w:ind w:right="560"/>
        <w:spacing w:after="0" w:line="309" w:lineRule="auto"/>
        <w:rPr>
          <w:sz w:val="20"/>
          <w:szCs w:val="20"/>
          <w:color w:val="auto"/>
        </w:rPr>
      </w:pPr>
      <w:r>
        <w:rPr>
          <w:rFonts w:ascii="Arial" w:cs="Arial" w:eastAsia="Arial" w:hAnsi="Arial"/>
          <w:sz w:val="22"/>
          <w:szCs w:val="22"/>
          <w:color w:val="auto"/>
        </w:rPr>
        <w:t>Staff recommends the following conditions of approval related to enhance screening and help deter graffiti and other vandalism on the perimeter wall:</w:t>
      </w:r>
    </w:p>
    <w:p>
      <w:pPr>
        <w:spacing w:after="0" w:line="213" w:lineRule="exact"/>
        <w:rPr>
          <w:sz w:val="20"/>
          <w:szCs w:val="20"/>
          <w:color w:val="auto"/>
        </w:rPr>
      </w:pPr>
    </w:p>
    <w:p>
      <w:pPr>
        <w:ind w:right="300"/>
        <w:spacing w:after="0" w:line="291" w:lineRule="auto"/>
        <w:rPr>
          <w:sz w:val="20"/>
          <w:szCs w:val="20"/>
          <w:color w:val="auto"/>
        </w:rPr>
      </w:pPr>
      <w:r>
        <w:rPr>
          <w:rFonts w:ascii="Arial" w:cs="Arial" w:eastAsia="Arial" w:hAnsi="Arial"/>
          <w:sz w:val="22"/>
          <w:szCs w:val="22"/>
          <w:u w:val="single" w:color="auto"/>
          <w:color w:val="auto"/>
        </w:rPr>
        <w:t>Recommended condition:</w:t>
      </w:r>
      <w:r>
        <w:rPr>
          <w:rFonts w:ascii="Arial" w:cs="Arial" w:eastAsia="Arial" w:hAnsi="Arial"/>
          <w:sz w:val="22"/>
          <w:szCs w:val="22"/>
          <w:color w:val="auto"/>
        </w:rPr>
        <w:t xml:space="preserve"> To the extent feasible, and without interfering with future perimeter wall footings, shrubs and/or ornamental trees shall be planted within the planter along the northern edge of the site to provide screening of the perimeter wall.</w:t>
      </w:r>
    </w:p>
    <w:p>
      <w:pPr>
        <w:spacing w:after="0" w:line="232" w:lineRule="exact"/>
        <w:rPr>
          <w:sz w:val="20"/>
          <w:szCs w:val="20"/>
          <w:color w:val="auto"/>
        </w:rPr>
      </w:pPr>
    </w:p>
    <w:p>
      <w:pPr>
        <w:ind w:right="40"/>
        <w:spacing w:after="0" w:line="291" w:lineRule="auto"/>
        <w:rPr>
          <w:sz w:val="20"/>
          <w:szCs w:val="20"/>
          <w:color w:val="auto"/>
        </w:rPr>
      </w:pPr>
      <w:r>
        <w:rPr>
          <w:rFonts w:ascii="Arial" w:cs="Arial" w:eastAsia="Arial" w:hAnsi="Arial"/>
          <w:sz w:val="22"/>
          <w:szCs w:val="22"/>
          <w:u w:val="single" w:color="auto"/>
          <w:color w:val="auto"/>
        </w:rPr>
        <w:t>Recommended condition:</w:t>
      </w:r>
      <w:r>
        <w:rPr>
          <w:rFonts w:ascii="Arial" w:cs="Arial" w:eastAsia="Arial" w:hAnsi="Arial"/>
          <w:sz w:val="22"/>
          <w:szCs w:val="22"/>
          <w:color w:val="auto"/>
        </w:rPr>
        <w:t xml:space="preserve"> The applicant shall plant vines and/or apply a graffiti-resistant coating on the north side of the perimeter wall and apply a graffiti-resistant coating to the west side of the perimeter wall to deter vandalism.</w:t>
      </w:r>
    </w:p>
    <w:p>
      <w:pPr>
        <w:spacing w:after="0" w:line="232"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Lighting</w:t>
      </w:r>
    </w:p>
    <w:p>
      <w:pPr>
        <w:spacing w:after="0" w:line="323" w:lineRule="exact"/>
        <w:rPr>
          <w:sz w:val="20"/>
          <w:szCs w:val="20"/>
          <w:color w:val="auto"/>
        </w:rPr>
      </w:pPr>
    </w:p>
    <w:p>
      <w:pPr>
        <w:jc w:val="both"/>
        <w:ind w:right="320"/>
        <w:spacing w:after="0" w:line="291" w:lineRule="auto"/>
        <w:rPr>
          <w:sz w:val="20"/>
          <w:szCs w:val="20"/>
          <w:color w:val="auto"/>
        </w:rPr>
      </w:pPr>
      <w:r>
        <w:rPr>
          <w:rFonts w:ascii="Arial" w:cs="Arial" w:eastAsia="Arial" w:hAnsi="Arial"/>
          <w:sz w:val="22"/>
          <w:szCs w:val="22"/>
          <w:color w:val="auto"/>
        </w:rPr>
        <w:t>The project includes exterior wall-mounted and pole-mounted lighting. The proposed lighting complies with the City's Design Standards and Guidelines regarding fixture height, light shielding, and minimum illumination requirements.</w:t>
      </w:r>
    </w:p>
    <w:p>
      <w:pPr>
        <w:spacing w:after="0" w:line="232"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Signage</w:t>
      </w:r>
    </w:p>
    <w:p>
      <w:pPr>
        <w:spacing w:after="0" w:line="323" w:lineRule="exact"/>
        <w:rPr>
          <w:sz w:val="20"/>
          <w:szCs w:val="20"/>
          <w:color w:val="auto"/>
        </w:rPr>
      </w:pPr>
    </w:p>
    <w:p>
      <w:pPr>
        <w:spacing w:after="0" w:line="282" w:lineRule="auto"/>
        <w:rPr>
          <w:sz w:val="20"/>
          <w:szCs w:val="20"/>
          <w:color w:val="auto"/>
        </w:rPr>
      </w:pPr>
      <w:r>
        <w:rPr>
          <w:rFonts w:ascii="Arial" w:cs="Arial" w:eastAsia="Arial" w:hAnsi="Arial"/>
          <w:sz w:val="22"/>
          <w:szCs w:val="22"/>
          <w:color w:val="auto"/>
        </w:rPr>
        <w:t>The project includes wall signage above the fire station apparatus bay facing East Avenue and above the public entrance facing Loyola Way, as well as a monument sign at the corner of East Avenue and Loyola Way. The proposed signage is designed to complement the architectural character of the project and complies with all applicable sign regulations including permitted sign types, allowable sign area, and maximum sign height.</w:t>
      </w:r>
    </w:p>
    <w:p>
      <w:pPr>
        <w:spacing w:after="0" w:line="242"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Public Art</w:t>
      </w:r>
    </w:p>
    <w:p>
      <w:pPr>
        <w:spacing w:after="0" w:line="323" w:lineRule="exact"/>
        <w:rPr>
          <w:sz w:val="20"/>
          <w:szCs w:val="20"/>
          <w:color w:val="auto"/>
        </w:rPr>
      </w:pPr>
    </w:p>
    <w:p>
      <w:pPr>
        <w:ind w:right="80"/>
        <w:spacing w:after="0" w:line="280" w:lineRule="auto"/>
        <w:rPr>
          <w:sz w:val="20"/>
          <w:szCs w:val="20"/>
          <w:color w:val="auto"/>
        </w:rPr>
      </w:pPr>
      <w:r>
        <w:rPr>
          <w:rFonts w:ascii="Arial" w:cs="Arial" w:eastAsia="Arial" w:hAnsi="Arial"/>
          <w:sz w:val="22"/>
          <w:szCs w:val="22"/>
          <w:color w:val="auto"/>
        </w:rPr>
        <w:t>The project proposes a location for public art at the corner of East Avenue and Loyola Way. This highly visible corner provides an opportunity for public art that can be appreciated by visitors to the adjacent community center, nearby residents, and pedestrians and motorists traveling along East Avenue. Given the project's prominent location and surrounding civic and residential uses, staff has determined that it is preferable for the project's public art obligation, or a portion thereof, to be satisfied through the installation of on-site public art.</w:t>
      </w:r>
    </w:p>
    <w:p>
      <w:pPr>
        <w:spacing w:after="0" w:line="245" w:lineRule="exact"/>
        <w:rPr>
          <w:sz w:val="20"/>
          <w:szCs w:val="20"/>
          <w:color w:val="auto"/>
        </w:rPr>
      </w:pPr>
    </w:p>
    <w:p>
      <w:pPr>
        <w:ind w:right="180"/>
        <w:spacing w:after="0" w:line="302" w:lineRule="auto"/>
        <w:rPr>
          <w:sz w:val="20"/>
          <w:szCs w:val="20"/>
          <w:color w:val="auto"/>
        </w:rPr>
      </w:pPr>
      <w:r>
        <w:rPr>
          <w:rFonts w:ascii="Arial" w:cs="Arial" w:eastAsia="Arial" w:hAnsi="Arial"/>
          <w:sz w:val="21"/>
          <w:szCs w:val="21"/>
          <w:color w:val="auto"/>
        </w:rPr>
        <w:t>However, because the specific artwork has not yet been identified, and the feasibility of installation may be affected by the required art medium, spatial requirements, and the presence of existing or proposed utilities, staff recognizes that on-site installation may ultimately prove infeasible. Therefore, staff recommends the following condition of approval to provide flexibility while ensuring compliance with the</w:t>
      </w:r>
    </w:p>
    <w:p>
      <w:pPr>
        <w:sectPr>
          <w:pgSz w:w="12240" w:h="15840" w:orient="portrait"/>
          <w:cols w:equalWidth="0" w:num="1">
            <w:col w:w="10020"/>
          </w:cols>
          <w:pgMar w:left="1080" w:top="871" w:right="1140" w:bottom="805" w:gutter="0" w:footer="0" w:header="0"/>
        </w:sectPr>
      </w:pPr>
    </w:p>
    <w:p>
      <w:pPr>
        <w:spacing w:after="0"/>
        <w:rPr>
          <w:sz w:val="20"/>
          <w:szCs w:val="20"/>
          <w:color w:val="auto"/>
        </w:rPr>
      </w:pPr>
      <w:r>
        <w:rPr>
          <w:rFonts w:ascii="Arial" w:cs="Arial" w:eastAsia="Arial" w:hAnsi="Arial"/>
          <w:sz w:val="22"/>
          <w:szCs w:val="22"/>
          <w:color w:val="auto"/>
        </w:rPr>
        <w:t>City's Art in Public Places Program requirements:</w:t>
      </w:r>
    </w:p>
    <w:p>
      <w:pPr>
        <w:spacing w:after="0" w:line="322"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Recommended condition</w:t>
      </w:r>
      <w:r>
        <w:rPr>
          <w:rFonts w:ascii="Arial" w:cs="Arial" w:eastAsia="Arial" w:hAnsi="Arial"/>
          <w:sz w:val="22"/>
          <w:szCs w:val="22"/>
          <w:color w:val="auto"/>
        </w:rPr>
        <w:t>: Prior to issuance of the Certificate of Occupancy, the applicant shall either:</w:t>
      </w:r>
    </w:p>
    <w:p>
      <w:pPr>
        <w:spacing w:after="0" w:line="323" w:lineRule="exact"/>
        <w:rPr>
          <w:sz w:val="20"/>
          <w:szCs w:val="20"/>
          <w:color w:val="auto"/>
        </w:rPr>
      </w:pPr>
    </w:p>
    <w:p>
      <w:pPr>
        <w:ind w:left="600" w:right="180" w:hanging="300"/>
        <w:spacing w:after="0" w:line="274" w:lineRule="auto"/>
        <w:tabs>
          <w:tab w:leader="none" w:pos="600" w:val="left"/>
        </w:tabs>
        <w:numPr>
          <w:ilvl w:val="0"/>
          <w:numId w:val="3"/>
        </w:numPr>
        <w:rPr>
          <w:rFonts w:ascii="Arial" w:cs="Arial" w:eastAsia="Arial" w:hAnsi="Arial"/>
          <w:sz w:val="22"/>
          <w:szCs w:val="22"/>
          <w:color w:val="auto"/>
        </w:rPr>
      </w:pPr>
      <w:r>
        <w:rPr>
          <w:rFonts w:ascii="Arial" w:cs="Arial" w:eastAsia="Arial" w:hAnsi="Arial"/>
          <w:sz w:val="22"/>
          <w:szCs w:val="22"/>
          <w:color w:val="auto"/>
        </w:rPr>
        <w:t>Obtain approval from the Commission for the Arts for the proposed on-site public art installation, including the artwork, location, and maintenance plan, in accordance with Chapter 12.51 of the Livermore Municipal Code and install artwork no later than 180 days following issuance of Certificate of Occupancy; or</w:t>
      </w:r>
    </w:p>
    <w:p>
      <w:pPr>
        <w:ind w:left="600" w:hanging="300"/>
        <w:spacing w:after="0" w:line="289" w:lineRule="auto"/>
        <w:tabs>
          <w:tab w:leader="none" w:pos="600" w:val="left"/>
        </w:tabs>
        <w:numPr>
          <w:ilvl w:val="0"/>
          <w:numId w:val="3"/>
        </w:numPr>
        <w:rPr>
          <w:rFonts w:ascii="Arial" w:cs="Arial" w:eastAsia="Arial" w:hAnsi="Arial"/>
          <w:sz w:val="22"/>
          <w:szCs w:val="22"/>
          <w:color w:val="auto"/>
        </w:rPr>
      </w:pPr>
      <w:r>
        <w:rPr>
          <w:rFonts w:ascii="Arial" w:cs="Arial" w:eastAsia="Arial" w:hAnsi="Arial"/>
          <w:sz w:val="22"/>
          <w:szCs w:val="22"/>
          <w:color w:val="auto"/>
        </w:rPr>
        <w:t>If on-site public art is determined to be infeasible, satisfy the Art in Public Places Program requirement by paying the applicable public art in-lieu fee in accordance with Chapter 12.51 of the Livermore Municipal Code.</w:t>
      </w:r>
    </w:p>
    <w:p>
      <w:pPr>
        <w:spacing w:after="0" w:line="235" w:lineRule="exact"/>
        <w:rPr>
          <w:sz w:val="20"/>
          <w:szCs w:val="20"/>
          <w:color w:val="auto"/>
        </w:rPr>
      </w:pPr>
    </w:p>
    <w:p>
      <w:pPr>
        <w:spacing w:after="0"/>
        <w:rPr>
          <w:sz w:val="20"/>
          <w:szCs w:val="20"/>
          <w:color w:val="auto"/>
        </w:rPr>
      </w:pPr>
      <w:r>
        <w:rPr>
          <w:rFonts w:ascii="Arial" w:cs="Arial" w:eastAsia="Arial" w:hAnsi="Arial"/>
          <w:sz w:val="22"/>
          <w:szCs w:val="22"/>
          <w:u w:val="single" w:color="auto"/>
          <w:color w:val="auto"/>
        </w:rPr>
        <w:t>ENVIRONMENTAL DETERMINATION</w:t>
      </w:r>
    </w:p>
    <w:p>
      <w:pPr>
        <w:spacing w:after="0" w:line="323" w:lineRule="exact"/>
        <w:rPr>
          <w:sz w:val="20"/>
          <w:szCs w:val="20"/>
          <w:color w:val="auto"/>
        </w:rPr>
      </w:pPr>
    </w:p>
    <w:p>
      <w:pPr>
        <w:spacing w:after="0" w:line="282" w:lineRule="auto"/>
        <w:rPr>
          <w:sz w:val="20"/>
          <w:szCs w:val="20"/>
          <w:color w:val="auto"/>
        </w:rPr>
      </w:pPr>
      <w:r>
        <w:rPr>
          <w:rFonts w:ascii="Arial" w:cs="Arial" w:eastAsia="Arial" w:hAnsi="Arial"/>
          <w:sz w:val="22"/>
          <w:szCs w:val="22"/>
          <w:color w:val="auto"/>
        </w:rPr>
        <w:t>The project is exempt from the California Environmental Quality Act (CEQA) pursuant to Section 15302, Replacement or Reconstruction, of the CEQA Guidelines. This exemption applies to the replacement or reconstruction of existing structures and facilities where the new structure will be located on the same site as the structure replaced and will have substantially the same purpose and capacity as the structure replaced.</w:t>
      </w:r>
    </w:p>
    <w:p>
      <w:pPr>
        <w:spacing w:after="0" w:line="242" w:lineRule="exact"/>
        <w:rPr>
          <w:sz w:val="20"/>
          <w:szCs w:val="20"/>
          <w:color w:val="auto"/>
        </w:rPr>
      </w:pPr>
    </w:p>
    <w:p>
      <w:pPr>
        <w:spacing w:after="0" w:line="291" w:lineRule="auto"/>
        <w:rPr>
          <w:sz w:val="20"/>
          <w:szCs w:val="20"/>
          <w:color w:val="auto"/>
        </w:rPr>
      </w:pPr>
      <w:r>
        <w:rPr>
          <w:rFonts w:ascii="Arial" w:cs="Arial" w:eastAsia="Arial" w:hAnsi="Arial"/>
          <w:sz w:val="22"/>
          <w:szCs w:val="22"/>
          <w:color w:val="auto"/>
        </w:rPr>
        <w:t>The proposed project involves demolition of the existing Fire Station No. 6 and construction of a new fire station on the same site. The replacement facility will continue to function as an emergency response station serving the same geographic service area as the existing facility.</w:t>
      </w:r>
    </w:p>
    <w:p>
      <w:pPr>
        <w:spacing w:after="0" w:line="232" w:lineRule="exact"/>
        <w:rPr>
          <w:sz w:val="20"/>
          <w:szCs w:val="20"/>
          <w:color w:val="auto"/>
        </w:rPr>
      </w:pPr>
    </w:p>
    <w:p>
      <w:pPr>
        <w:spacing w:after="0" w:line="302" w:lineRule="auto"/>
        <w:rPr>
          <w:sz w:val="20"/>
          <w:szCs w:val="20"/>
          <w:color w:val="auto"/>
        </w:rPr>
      </w:pPr>
      <w:r>
        <w:rPr>
          <w:rFonts w:ascii="Arial" w:cs="Arial" w:eastAsia="Arial" w:hAnsi="Arial"/>
          <w:sz w:val="21"/>
          <w:szCs w:val="21"/>
          <w:color w:val="auto"/>
        </w:rPr>
        <w:t>Although the proposed fire station will be larger in size than the existing building, the increase in building area is necessary to accommodate current operational needs, building code requirements, firefighter health and safety standards, and the storage of modern apparatus and equipment. The larger building is not intended to expand the station's service area or materially increase its operational capacity.</w:t>
      </w:r>
    </w:p>
    <w:p>
      <w:pPr>
        <w:spacing w:after="0" w:line="225" w:lineRule="exact"/>
        <w:rPr>
          <w:sz w:val="20"/>
          <w:szCs w:val="20"/>
          <w:color w:val="auto"/>
        </w:rPr>
      </w:pPr>
    </w:p>
    <w:p>
      <w:pPr>
        <w:spacing w:after="0" w:line="279" w:lineRule="auto"/>
        <w:rPr>
          <w:sz w:val="20"/>
          <w:szCs w:val="20"/>
          <w:color w:val="auto"/>
        </w:rPr>
      </w:pPr>
      <w:r>
        <w:rPr>
          <w:rFonts w:ascii="Arial" w:cs="Arial" w:eastAsia="Arial" w:hAnsi="Arial"/>
          <w:sz w:val="22"/>
          <w:szCs w:val="22"/>
          <w:color w:val="auto"/>
        </w:rPr>
        <w:t>The project includes the addition of one fire station personnel member; however, this staffing adjustment does not constitute a substantial increase in the facility's overall operational capacity. Similarly, Fire Station No. 6 currently hosts training activities, and those activities will continue at the replacement station without a substantial increase in their frequency or intensity. Overall, the proposed project modernizes and replaces an aging public safety facility to meet current codes, regulations, and operational requirements while maintaining substantially the same purpose and capacity as the existing fire station.</w:t>
      </w:r>
    </w:p>
    <w:p>
      <w:pPr>
        <w:spacing w:after="0" w:line="245" w:lineRule="exact"/>
        <w:rPr>
          <w:sz w:val="20"/>
          <w:szCs w:val="20"/>
          <w:color w:val="auto"/>
        </w:rPr>
      </w:pPr>
    </w:p>
    <w:p>
      <w:pPr>
        <w:ind w:right="840"/>
        <w:spacing w:after="0" w:line="309" w:lineRule="auto"/>
        <w:rPr>
          <w:sz w:val="20"/>
          <w:szCs w:val="20"/>
          <w:color w:val="auto"/>
        </w:rPr>
      </w:pPr>
      <w:r>
        <w:rPr>
          <w:rFonts w:ascii="Arial" w:cs="Arial" w:eastAsia="Arial" w:hAnsi="Arial"/>
          <w:sz w:val="22"/>
          <w:szCs w:val="22"/>
          <w:color w:val="auto"/>
        </w:rPr>
        <w:t>Therefore, the project qualifies for a Categorical Exemption under Section 15302 and no further environmental review is required.</w:t>
      </w:r>
    </w:p>
    <w:p>
      <w:pPr>
        <w:spacing w:after="0" w:line="200" w:lineRule="exact"/>
        <w:rPr>
          <w:sz w:val="20"/>
          <w:szCs w:val="20"/>
          <w:color w:val="auto"/>
        </w:rPr>
      </w:pPr>
    </w:p>
    <w:p>
      <w:pPr>
        <w:spacing w:after="0" w:line="227" w:lineRule="exact"/>
        <w:rPr>
          <w:sz w:val="20"/>
          <w:szCs w:val="20"/>
          <w:color w:val="auto"/>
        </w:rPr>
      </w:pPr>
    </w:p>
    <w:p>
      <w:pPr>
        <w:spacing w:after="0"/>
        <w:rPr>
          <w:sz w:val="20"/>
          <w:szCs w:val="20"/>
          <w:color w:val="auto"/>
        </w:rPr>
      </w:pPr>
      <w:r>
        <w:rPr>
          <w:rFonts w:ascii="Arial" w:cs="Arial" w:eastAsia="Arial" w:hAnsi="Arial"/>
          <w:sz w:val="22"/>
          <w:szCs w:val="22"/>
          <w:b w:val="1"/>
          <w:bCs w:val="1"/>
          <w:u w:val="single" w:color="auto"/>
          <w:color w:val="auto"/>
        </w:rPr>
        <w:t>ATTACHMENTS</w:t>
      </w:r>
    </w:p>
    <w:p>
      <w:pPr>
        <w:spacing w:after="0" w:line="325" w:lineRule="exact"/>
        <w:rPr>
          <w:sz w:val="20"/>
          <w:szCs w:val="20"/>
          <w:color w:val="auto"/>
        </w:rPr>
      </w:pPr>
    </w:p>
    <w:p>
      <w:pPr>
        <w:ind w:left="260" w:hanging="260"/>
        <w:spacing w:after="0"/>
        <w:tabs>
          <w:tab w:leader="none" w:pos="260" w:val="left"/>
        </w:tabs>
        <w:numPr>
          <w:ilvl w:val="0"/>
          <w:numId w:val="4"/>
        </w:numPr>
        <w:rPr>
          <w:rFonts w:ascii="Arial" w:cs="Arial" w:eastAsia="Arial" w:hAnsi="Arial"/>
          <w:sz w:val="24"/>
          <w:szCs w:val="24"/>
          <w:color w:val="0000EE"/>
        </w:rPr>
      </w:pPr>
      <w:hyperlink r:id="rId22">
        <w:r>
          <w:rPr>
            <w:rFonts w:ascii="Arial" w:cs="Arial" w:eastAsia="Arial" w:hAnsi="Arial"/>
            <w:sz w:val="24"/>
            <w:szCs w:val="24"/>
            <w:color w:val="0000EE"/>
          </w:rPr>
          <w:t>Location Map</w:t>
        </w:r>
      </w:hyperlink>
    </w:p>
    <w:p>
      <w:pPr>
        <w:spacing w:after="0" w:line="48" w:lineRule="exact"/>
        <w:rPr>
          <w:rFonts w:ascii="Arial" w:cs="Arial" w:eastAsia="Arial" w:hAnsi="Arial"/>
          <w:sz w:val="24"/>
          <w:szCs w:val="24"/>
          <w:color w:val="0000EE"/>
        </w:rPr>
      </w:pPr>
    </w:p>
    <w:p>
      <w:pPr>
        <w:ind w:left="260" w:hanging="260"/>
        <w:spacing w:after="0"/>
        <w:tabs>
          <w:tab w:leader="none" w:pos="260" w:val="left"/>
        </w:tabs>
        <w:numPr>
          <w:ilvl w:val="0"/>
          <w:numId w:val="4"/>
        </w:numPr>
        <w:rPr>
          <w:rFonts w:ascii="Arial" w:cs="Arial" w:eastAsia="Arial" w:hAnsi="Arial"/>
          <w:sz w:val="24"/>
          <w:szCs w:val="24"/>
          <w:color w:val="0000EE"/>
        </w:rPr>
      </w:pPr>
      <w:hyperlink r:id="rId23">
        <w:r>
          <w:rPr>
            <w:rFonts w:ascii="Arial" w:cs="Arial" w:eastAsia="Arial" w:hAnsi="Arial"/>
            <w:sz w:val="24"/>
            <w:szCs w:val="24"/>
            <w:color w:val="0000EE"/>
          </w:rPr>
          <w:t>Development Plans</w:t>
        </w:r>
      </w:hyperlink>
    </w:p>
    <w:p>
      <w:pPr>
        <w:spacing w:after="0" w:line="48" w:lineRule="exact"/>
        <w:rPr>
          <w:rFonts w:ascii="Arial" w:cs="Arial" w:eastAsia="Arial" w:hAnsi="Arial"/>
          <w:sz w:val="24"/>
          <w:szCs w:val="24"/>
          <w:color w:val="0000EE"/>
        </w:rPr>
      </w:pPr>
    </w:p>
    <w:p>
      <w:pPr>
        <w:ind w:left="260" w:hanging="260"/>
        <w:spacing w:after="0"/>
        <w:tabs>
          <w:tab w:leader="none" w:pos="260" w:val="left"/>
        </w:tabs>
        <w:numPr>
          <w:ilvl w:val="0"/>
          <w:numId w:val="4"/>
        </w:numPr>
        <w:rPr>
          <w:rFonts w:ascii="Arial" w:cs="Arial" w:eastAsia="Arial" w:hAnsi="Arial"/>
          <w:sz w:val="24"/>
          <w:szCs w:val="24"/>
          <w:color w:val="0000EE"/>
        </w:rPr>
      </w:pPr>
      <w:hyperlink r:id="rId24">
        <w:r>
          <w:rPr>
            <w:rFonts w:ascii="Arial" w:cs="Arial" w:eastAsia="Arial" w:hAnsi="Arial"/>
            <w:sz w:val="24"/>
            <w:szCs w:val="24"/>
            <w:color w:val="0000EE"/>
          </w:rPr>
          <w:t>Resolution - CEQA</w:t>
        </w:r>
      </w:hyperlink>
    </w:p>
    <w:p>
      <w:pPr>
        <w:spacing w:after="0" w:line="48" w:lineRule="exact"/>
        <w:rPr>
          <w:rFonts w:ascii="Arial" w:cs="Arial" w:eastAsia="Arial" w:hAnsi="Arial"/>
          <w:sz w:val="24"/>
          <w:szCs w:val="24"/>
          <w:color w:val="0000EE"/>
        </w:rPr>
      </w:pPr>
    </w:p>
    <w:p>
      <w:pPr>
        <w:ind w:left="260" w:hanging="260"/>
        <w:spacing w:after="0"/>
        <w:tabs>
          <w:tab w:leader="none" w:pos="260" w:val="left"/>
        </w:tabs>
        <w:numPr>
          <w:ilvl w:val="0"/>
          <w:numId w:val="4"/>
        </w:numPr>
        <w:rPr>
          <w:rFonts w:ascii="Arial" w:cs="Arial" w:eastAsia="Arial" w:hAnsi="Arial"/>
          <w:sz w:val="24"/>
          <w:szCs w:val="24"/>
          <w:color w:val="0000EE"/>
        </w:rPr>
      </w:pPr>
      <w:hyperlink r:id="rId25">
        <w:r>
          <w:rPr>
            <w:rFonts w:ascii="Arial" w:cs="Arial" w:eastAsia="Arial" w:hAnsi="Arial"/>
            <w:sz w:val="24"/>
            <w:szCs w:val="24"/>
            <w:color w:val="0000EE"/>
          </w:rPr>
          <w:t>Resolution - Project Approval</w:t>
        </w:r>
      </w:hyperlink>
    </w:p>
    <w:p>
      <w:pPr>
        <w:sectPr>
          <w:pgSz w:w="12240" w:h="15840" w:orient="portrait"/>
          <w:cols w:equalWidth="0" w:num="1">
            <w:col w:w="9940"/>
          </w:cols>
          <w:pgMar w:left="1080" w:top="825" w:right="1220" w:bottom="892" w:gutter="0" w:footer="0" w:header="0"/>
        </w:sectPr>
      </w:pPr>
    </w:p>
    <w:p>
      <w:pPr>
        <w:spacing w:after="0"/>
        <w:rPr>
          <w:rFonts w:ascii="Arial" w:cs="Arial" w:eastAsia="Arial" w:hAnsi="Arial"/>
          <w:sz w:val="23"/>
          <w:szCs w:val="23"/>
          <w:color w:val="0000EE"/>
        </w:rPr>
      </w:pPr>
      <w:hyperlink r:id="rId26">
        <w:r>
          <w:rPr>
            <w:rFonts w:ascii="Arial" w:cs="Arial" w:eastAsia="Arial" w:hAnsi="Arial"/>
            <w:sz w:val="23"/>
            <w:szCs w:val="23"/>
            <w:color w:val="0000EE"/>
          </w:rPr>
          <w:t>5. Exhibit A - Conditions of Approval</w:t>
        </w:r>
      </w:hyperlink>
    </w:p>
    <w:p>
      <w:pPr>
        <w:sectPr>
          <w:pgSz w:w="12240" w:h="15840" w:orient="portrait"/>
          <w:cols w:equalWidth="0" w:num="1">
            <w:col w:w="9720"/>
          </w:cols>
          <w:pgMar w:left="1080" w:top="847" w:right="1440" w:bottom="1440" w:gutter="0" w:footer="0" w:header="0"/>
        </w:sectPr>
      </w:pPr>
    </w:p>
    <w:p>
      <w:pPr>
        <w:spacing w:after="0" w:line="323" w:lineRule="exact"/>
        <w:rPr>
          <w:sz w:val="20"/>
          <w:szCs w:val="20"/>
          <w:color w:val="auto"/>
        </w:rPr>
      </w:pPr>
    </w:p>
    <w:p>
      <w:pPr>
        <w:ind w:left="20"/>
        <w:spacing w:after="0"/>
        <w:rPr>
          <w:sz w:val="20"/>
          <w:szCs w:val="20"/>
          <w:color w:val="auto"/>
        </w:rPr>
      </w:pPr>
      <w:r>
        <w:rPr>
          <w:rFonts w:ascii="Arial" w:cs="Arial" w:eastAsia="Arial" w:hAnsi="Arial"/>
          <w:sz w:val="22"/>
          <w:szCs w:val="22"/>
          <w:color w:val="auto"/>
        </w:rPr>
        <w:t>Prepared by: Ashley Vera</w:t>
      </w:r>
    </w:p>
    <w:p>
      <w:pPr>
        <w:spacing w:after="0" w:line="27" w:lineRule="exact"/>
        <w:rPr>
          <w:sz w:val="20"/>
          <w:szCs w:val="20"/>
          <w:color w:val="auto"/>
        </w:rPr>
      </w:pPr>
    </w:p>
    <w:p>
      <w:pPr>
        <w:ind w:left="1340"/>
        <w:spacing w:after="0"/>
        <w:rPr>
          <w:sz w:val="20"/>
          <w:szCs w:val="20"/>
          <w:color w:val="auto"/>
        </w:rPr>
      </w:pPr>
      <w:r>
        <w:rPr>
          <w:rFonts w:ascii="Arial" w:cs="Arial" w:eastAsia="Arial" w:hAnsi="Arial"/>
          <w:sz w:val="21"/>
          <w:szCs w:val="21"/>
          <w:color w:val="auto"/>
        </w:rPr>
        <w:t>Senior Planner</w:t>
      </w:r>
    </w:p>
    <w:sectPr>
      <w:pgSz w:w="12240" w:h="15840" w:orient="portrait"/>
      <w:cols w:equalWidth="0" w:num="1">
        <w:col w:w="9720"/>
      </w:cols>
      <w:pgMar w:left="1080" w:top="847" w:right="144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400001FF" w:csb1="FFFF0000"/>
  </w:font>
</w:fonts>
</file>

<file path=word/numbering.xml><?xml version="1.0" encoding="utf-8"?>
<w:numbering xmlns:w="http://schemas.openxmlformats.org/wordprocessingml/2006/main">
  <w:abstractNum w:abstractNumId="0">
    <w:nsid w:val="1649"/>
    <w:multiLevelType w:val="hybridMultilevel"/>
    <w:lvl w:ilvl="0">
      <w:lvlJc w:val="left"/>
      <w:lvlText w:val="%1."/>
      <w:numFmt w:val="decimal"/>
      <w:start w:val="1"/>
    </w:lvl>
  </w:abstractNum>
  <w:abstractNum w:abstractNumId="1">
    <w:nsid w:val="6DF1"/>
    <w:multiLevelType w:val="hybridMultilevel"/>
    <w:lvl w:ilvl="0">
      <w:lvlJc w:val="left"/>
      <w:lvlText w:val="%1."/>
      <w:numFmt w:val="decimal"/>
      <w:start w:val="2"/>
    </w:lvl>
  </w:abstractNum>
  <w:abstractNum w:abstractNumId="2">
    <w:nsid w:val="5AF1"/>
    <w:multiLevelType w:val="hybridMultilevel"/>
    <w:lvl w:ilvl="0">
      <w:lvlJc w:val="left"/>
      <w:lvlText w:val="%1."/>
      <w:numFmt w:val="decimal"/>
      <w:start w:val="1"/>
    </w:lvl>
  </w:abstractNum>
  <w:abstractNum w:abstractNumId="3">
    <w:nsid w:val="41BB"/>
    <w:multiLevelType w:val="hybridMultilevel"/>
    <w:lvl w:ilvl="0">
      <w:lvlJc w:val="left"/>
      <w:lvlText w:val="%1."/>
      <w:numFmt w:val="decimal"/>
      <w:start w:val="1"/>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hyperlink" Target="https://livermore.granicus.com/services/legistar/download/pdf/4304651/1._Location_Map.pdf" TargetMode="External"/><Relationship Id="rId23" Type="http://schemas.openxmlformats.org/officeDocument/2006/relationships/hyperlink" Target="https://livermore.granicus.com/services/legistar/download/pdf/4305650/2._Development_Plans.pdf" TargetMode="External"/><Relationship Id="rId24" Type="http://schemas.openxmlformats.org/officeDocument/2006/relationships/hyperlink" Target="https://livermore.granicus.com/services/legistar/download/pdf/4305271/3._Resolution_-_CEQA.pdf" TargetMode="External"/><Relationship Id="rId25" Type="http://schemas.openxmlformats.org/officeDocument/2006/relationships/hyperlink" Target="https://livermore.granicus.com/services/legistar/download/pdf/4305273/4._Resolution_-_Project_Approval.pdf" TargetMode="External"/><Relationship Id="rId26" Type="http://schemas.openxmlformats.org/officeDocument/2006/relationships/hyperlink" Target="https://livermore.granicus.com/services/legistar/download/pdf/4305021/5._Exhibit_A_-_Conditions_of_Approval.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2026-08-14T23:21:15Z</dcterms:created>
  <dcterms:modified xsi:type="dcterms:W3CDTF">2026-08-14T23:21:15Z</dcterms:modified>
</cp:coreProperties>
</file>