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png" ContentType="image/pn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p>
      <w:pPr>
        <w:spacing w:after="0" w:line="200" w:lineRule="exact"/>
        <w:rPr>
          <w:sz w:val="24"/>
          <w:szCs w:val="24"/>
          <w:color w:val="auto"/>
        </w:rPr>
      </w:pPr>
      <w:r>
        <w:rPr>
          <w:sz w:val="24"/>
          <w:szCs w:val="24"/>
          <w:color w:val="auto"/>
        </w:rPr>
        <w:drawing>
          <wp:anchor simplePos="0" relativeHeight="251657728" behindDoc="1" locked="0" layoutInCell="0" allowOverlap="1">
            <wp:simplePos x="0" y="0"/>
            <wp:positionH relativeFrom="page">
              <wp:posOffset>2438400</wp:posOffset>
            </wp:positionH>
            <wp:positionV relativeFrom="page">
              <wp:posOffset>542925</wp:posOffset>
            </wp:positionV>
            <wp:extent cx="2857500" cy="99060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clrChange>
                        <a:clrFrom>
                          <a:srgbClr val="FFFFFF"/>
                        </a:clrFrom>
                        <a:clrTo>
                          <a:srgbClr val="FFFFFF">
                            <a:alpha val="0"/>
                          </a:srgbClr>
                        </a:clrTo>
                      </a:clrChange>
                      <a:extLst>
                        <a:ext uri="{28A0092B-C50C-407E-A947-70E740481C1C}"/>
                      </a:extLst>
                    </a:blip>
                    <a:srcRect/>
                    <a:stretch>
                      <a:fillRect/>
                    </a:stretch>
                  </pic:blipFill>
                  <pic:spPr bwMode="auto">
                    <a:xfrm>
                      <a:off x="0" y="0"/>
                      <a:ext cx="2857500" cy="99060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364" w:lineRule="exact"/>
        <w:rPr>
          <w:sz w:val="24"/>
          <w:szCs w:val="24"/>
          <w:color w:val="auto"/>
        </w:rPr>
      </w:pPr>
    </w:p>
    <w:p>
      <w:pPr>
        <w:spacing w:after="0"/>
        <w:tabs>
          <w:tab w:leader="none" w:pos="8520" w:val="left"/>
        </w:tabs>
        <w:rPr>
          <w:sz w:val="20"/>
          <w:szCs w:val="20"/>
          <w:color w:val="auto"/>
        </w:rPr>
      </w:pPr>
      <w:r>
        <w:rPr>
          <w:rFonts w:ascii="Arial" w:cs="Arial" w:eastAsia="Arial" w:hAnsi="Arial"/>
          <w:sz w:val="24"/>
          <w:szCs w:val="24"/>
          <w:b w:val="1"/>
          <w:bCs w:val="1"/>
          <w:color w:val="auto"/>
        </w:rPr>
        <w:t>PLANNING COMMISSION STAFF REPORT</w:t>
      </w:r>
      <w:r>
        <w:rPr>
          <w:sz w:val="20"/>
          <w:szCs w:val="20"/>
          <w:color w:val="auto"/>
        </w:rPr>
        <w:tab/>
      </w:r>
      <w:r>
        <w:rPr>
          <w:rFonts w:ascii="Arial" w:cs="Arial" w:eastAsia="Arial" w:hAnsi="Arial"/>
          <w:sz w:val="23"/>
          <w:szCs w:val="23"/>
          <w:b w:val="1"/>
          <w:bCs w:val="1"/>
          <w:color w:val="auto"/>
        </w:rPr>
        <w:t>ITEM NO. 5.1</w:t>
      </w:r>
    </w:p>
    <w:p>
      <w:pPr>
        <w:spacing w:after="0" w:line="20" w:lineRule="exact"/>
        <w:rPr>
          <w:sz w:val="24"/>
          <w:szCs w:val="24"/>
          <w:color w:val="auto"/>
        </w:rPr>
      </w:pPr>
      <w:r>
        <w:rPr>
          <w:sz w:val="24"/>
          <w:szCs w:val="24"/>
          <w:color w:val="auto"/>
        </w:rPr>
        <w:drawing>
          <wp:anchor simplePos="0" relativeHeight="251657728" behindDoc="1" locked="0" layoutInCell="0" allowOverlap="1">
            <wp:simplePos x="0" y="0"/>
            <wp:positionH relativeFrom="column">
              <wp:posOffset>0</wp:posOffset>
            </wp:positionH>
            <wp:positionV relativeFrom="paragraph">
              <wp:posOffset>37465</wp:posOffset>
            </wp:positionV>
            <wp:extent cx="6362700" cy="1524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extLst>
                    </a:blip>
                    <a:srcRect/>
                    <a:stretch>
                      <a:fillRect/>
                    </a:stretch>
                  </pic:blipFill>
                  <pic:spPr bwMode="auto">
                    <a:xfrm>
                      <a:off x="0" y="0"/>
                      <a:ext cx="6362700" cy="15240"/>
                    </a:xfrm>
                    <a:prstGeom prst="rect">
                      <a:avLst/>
                    </a:prstGeom>
                    <a:noFill/>
                  </pic:spPr>
                </pic:pic>
              </a:graphicData>
            </a:graphic>
          </wp:anchor>
        </w:drawing>
      </w: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94" w:lineRule="exact"/>
        <w:rPr>
          <w:sz w:val="24"/>
          <w:szCs w:val="24"/>
          <w:color w:val="auto"/>
        </w:rPr>
      </w:pPr>
    </w:p>
    <w:tbl>
      <w:tblPr>
        <w:tblLayout w:type="fixed"/>
        <w:tblInd w:w="0" w:type="dxa"/>
        <w:tblCellMar>
          <w:top w:w="0" w:type="dxa"/>
          <w:left w:w="0" w:type="dxa"/>
          <w:bottom w:w="0" w:type="dxa"/>
          <w:right w:w="0" w:type="dxa"/>
        </w:tblCellMar>
      </w:tblPr>
      <w:tr>
        <w:trPr>
          <w:trHeight w:val="305"/>
        </w:trPr>
        <w:tc>
          <w:tcPr>
            <w:tcW w:w="1080" w:type="dxa"/>
            <w:vAlign w:val="bottom"/>
          </w:tcPr>
          <w:p>
            <w:pPr>
              <w:spacing w:after="0"/>
              <w:rPr>
                <w:sz w:val="20"/>
                <w:szCs w:val="20"/>
                <w:color w:val="auto"/>
              </w:rPr>
            </w:pPr>
            <w:r>
              <w:rPr>
                <w:rFonts w:ascii="Arial" w:cs="Arial" w:eastAsia="Arial" w:hAnsi="Arial"/>
                <w:sz w:val="22"/>
                <w:szCs w:val="22"/>
                <w:b w:val="1"/>
                <w:bCs w:val="1"/>
                <w:color w:val="auto"/>
              </w:rPr>
              <w:t>DATE:</w:t>
            </w:r>
          </w:p>
        </w:tc>
        <w:tc>
          <w:tcPr>
            <w:tcW w:w="1620" w:type="dxa"/>
            <w:vAlign w:val="bottom"/>
          </w:tcPr>
          <w:p>
            <w:pPr>
              <w:ind w:left="420"/>
              <w:spacing w:after="0"/>
              <w:rPr>
                <w:sz w:val="20"/>
                <w:szCs w:val="20"/>
                <w:color w:val="auto"/>
              </w:rPr>
            </w:pPr>
            <w:r>
              <w:rPr>
                <w:rFonts w:ascii="Arial" w:cs="Arial" w:eastAsia="Arial" w:hAnsi="Arial"/>
                <w:sz w:val="22"/>
                <w:szCs w:val="22"/>
                <w:color w:val="auto"/>
                <w:w w:val="95"/>
              </w:rPr>
              <w:t>May 5, 2026</w:t>
            </w:r>
          </w:p>
        </w:tc>
      </w:tr>
    </w:tbl>
    <w:p>
      <w:pPr>
        <w:spacing w:after="0" w:line="199" w:lineRule="exact"/>
        <w:rPr>
          <w:sz w:val="24"/>
          <w:szCs w:val="24"/>
          <w:color w:val="auto"/>
        </w:rPr>
      </w:pPr>
    </w:p>
    <w:p>
      <w:pPr>
        <w:spacing w:after="0"/>
        <w:tabs>
          <w:tab w:leader="none" w:pos="1480" w:val="left"/>
        </w:tabs>
        <w:rPr>
          <w:sz w:val="20"/>
          <w:szCs w:val="20"/>
          <w:color w:val="auto"/>
        </w:rPr>
      </w:pPr>
      <w:r>
        <w:rPr>
          <w:rFonts w:ascii="Arial" w:cs="Arial" w:eastAsia="Arial" w:hAnsi="Arial"/>
          <w:sz w:val="22"/>
          <w:szCs w:val="22"/>
          <w:b w:val="1"/>
          <w:bCs w:val="1"/>
          <w:color w:val="auto"/>
        </w:rPr>
        <w:t>TO:</w:t>
      </w:r>
      <w:r>
        <w:rPr>
          <w:sz w:val="20"/>
          <w:szCs w:val="20"/>
          <w:color w:val="auto"/>
        </w:rPr>
        <w:tab/>
      </w:r>
      <w:r>
        <w:rPr>
          <w:rFonts w:ascii="Arial" w:cs="Arial" w:eastAsia="Arial" w:hAnsi="Arial"/>
          <w:sz w:val="22"/>
          <w:szCs w:val="22"/>
          <w:color w:val="auto"/>
        </w:rPr>
        <w:t>Chairperson and Members of the Planning Commission</w:t>
      </w:r>
    </w:p>
    <w:p>
      <w:pPr>
        <w:spacing w:after="0" w:line="251" w:lineRule="exact"/>
        <w:rPr>
          <w:sz w:val="24"/>
          <w:szCs w:val="24"/>
          <w:color w:val="auto"/>
        </w:rPr>
      </w:pPr>
    </w:p>
    <w:p>
      <w:pPr>
        <w:spacing w:after="0"/>
        <w:tabs>
          <w:tab w:leader="none" w:pos="1480" w:val="left"/>
        </w:tabs>
        <w:rPr>
          <w:sz w:val="20"/>
          <w:szCs w:val="20"/>
          <w:color w:val="auto"/>
        </w:rPr>
      </w:pPr>
      <w:r>
        <w:rPr>
          <w:rFonts w:ascii="Arial" w:cs="Arial" w:eastAsia="Arial" w:hAnsi="Arial"/>
          <w:sz w:val="22"/>
          <w:szCs w:val="22"/>
          <w:b w:val="1"/>
          <w:bCs w:val="1"/>
          <w:color w:val="auto"/>
        </w:rPr>
        <w:t>FROM:</w:t>
      </w:r>
      <w:r>
        <w:rPr>
          <w:sz w:val="20"/>
          <w:szCs w:val="20"/>
          <w:color w:val="auto"/>
        </w:rPr>
        <w:tab/>
      </w:r>
      <w:r>
        <w:rPr>
          <w:rFonts w:ascii="Arial" w:cs="Arial" w:eastAsia="Arial" w:hAnsi="Arial"/>
          <w:sz w:val="22"/>
          <w:szCs w:val="22"/>
          <w:color w:val="auto"/>
        </w:rPr>
        <w:t>Steve Riley, Planning Manager</w:t>
      </w:r>
    </w:p>
    <w:p>
      <w:pPr>
        <w:spacing w:after="0" w:line="251" w:lineRule="exact"/>
        <w:rPr>
          <w:sz w:val="24"/>
          <w:szCs w:val="24"/>
          <w:color w:val="auto"/>
        </w:rPr>
      </w:pPr>
    </w:p>
    <w:p>
      <w:pPr>
        <w:ind w:left="1500" w:right="80" w:hanging="1499"/>
        <w:spacing w:after="0" w:line="287" w:lineRule="auto"/>
        <w:tabs>
          <w:tab w:leader="none" w:pos="1480" w:val="left"/>
        </w:tabs>
        <w:rPr>
          <w:sz w:val="20"/>
          <w:szCs w:val="20"/>
          <w:color w:val="auto"/>
        </w:rPr>
      </w:pPr>
      <w:r>
        <w:rPr>
          <w:rFonts w:ascii="Arial" w:cs="Arial" w:eastAsia="Arial" w:hAnsi="Arial"/>
          <w:sz w:val="21"/>
          <w:szCs w:val="21"/>
          <w:b w:val="1"/>
          <w:bCs w:val="1"/>
          <w:color w:val="auto"/>
        </w:rPr>
        <w:t>SUBJECT:</w:t>
      </w:r>
      <w:r>
        <w:rPr>
          <w:sz w:val="20"/>
          <w:szCs w:val="20"/>
          <w:color w:val="auto"/>
        </w:rPr>
        <w:tab/>
      </w:r>
      <w:r>
        <w:rPr>
          <w:rFonts w:ascii="Arial" w:cs="Arial" w:eastAsia="Arial" w:hAnsi="Arial"/>
          <w:sz w:val="21"/>
          <w:szCs w:val="21"/>
          <w:color w:val="auto"/>
        </w:rPr>
        <w:t>Hearing to consider a request to amend the project approvals for Vesting Tentative Tract Map (VTTM) 8612 - Subdivision (SUB) 21-007 and Site Plan Design Review (SPDR) 21-006, known as Aura, and Vesting Tentative Tract Map (VTTM) 8613 - Subdivision (SUB) 21-006 and Site Plan and Design Review (SPDR) 21-005, known as Serenity, to authorize an alternative means of compliance with the City's Inclusionary Housing Ordinance for each project, pursuant to Livermore Development Code Section</w:t>
      </w:r>
    </w:p>
    <w:p>
      <w:pPr>
        <w:spacing w:after="0" w:line="1" w:lineRule="exact"/>
        <w:rPr>
          <w:sz w:val="24"/>
          <w:szCs w:val="24"/>
          <w:color w:val="auto"/>
        </w:rPr>
      </w:pPr>
    </w:p>
    <w:p>
      <w:pPr>
        <w:ind w:left="1500" w:right="260"/>
        <w:spacing w:after="0" w:line="281" w:lineRule="auto"/>
        <w:rPr>
          <w:sz w:val="20"/>
          <w:szCs w:val="20"/>
          <w:color w:val="auto"/>
        </w:rPr>
      </w:pPr>
      <w:r>
        <w:rPr>
          <w:rFonts w:ascii="Arial" w:cs="Arial" w:eastAsia="Arial" w:hAnsi="Arial"/>
          <w:sz w:val="22"/>
          <w:szCs w:val="22"/>
          <w:color w:val="auto"/>
        </w:rPr>
        <w:t>11.70.040. The alternative compliance method would be implemented through a future Affordable Housing Agreement for Aura and an amendment to the existing Affordable Housing Agreement for Serenity. The requested amendments would not result in any physical changes to the environment that were not otherwise considered in the original project approvals.</w:t>
      </w:r>
    </w:p>
    <w:p>
      <w:pPr>
        <w:spacing w:after="0" w:line="386"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RECOMMENDED ACTION</w:t>
      </w:r>
    </w:p>
    <w:p>
      <w:pPr>
        <w:spacing w:after="0" w:line="325" w:lineRule="exact"/>
        <w:rPr>
          <w:sz w:val="24"/>
          <w:szCs w:val="24"/>
          <w:color w:val="auto"/>
        </w:rPr>
      </w:pPr>
    </w:p>
    <w:p>
      <w:pPr>
        <w:spacing w:after="0"/>
        <w:rPr>
          <w:sz w:val="20"/>
          <w:szCs w:val="20"/>
          <w:color w:val="auto"/>
        </w:rPr>
      </w:pPr>
      <w:r>
        <w:rPr>
          <w:rFonts w:ascii="Arial" w:cs="Arial" w:eastAsia="Arial" w:hAnsi="Arial"/>
          <w:sz w:val="22"/>
          <w:szCs w:val="22"/>
          <w:color w:val="auto"/>
        </w:rPr>
        <w:t>Staff recommends the Planning Commission adopt resolutions recommending the City Council:</w:t>
      </w:r>
    </w:p>
    <w:p>
      <w:pPr>
        <w:spacing w:after="0" w:line="323" w:lineRule="exact"/>
        <w:rPr>
          <w:sz w:val="24"/>
          <w:szCs w:val="24"/>
          <w:color w:val="auto"/>
        </w:rPr>
      </w:pPr>
    </w:p>
    <w:p>
      <w:pPr>
        <w:ind w:left="600" w:right="660" w:hanging="300"/>
        <w:spacing w:after="0" w:line="274" w:lineRule="auto"/>
        <w:tabs>
          <w:tab w:leader="none" w:pos="600" w:val="left"/>
        </w:tabs>
        <w:numPr>
          <w:ilvl w:val="0"/>
          <w:numId w:val="1"/>
        </w:numPr>
        <w:rPr>
          <w:rFonts w:ascii="Arial" w:cs="Arial" w:eastAsia="Arial" w:hAnsi="Arial"/>
          <w:sz w:val="22"/>
          <w:szCs w:val="22"/>
          <w:color w:val="auto"/>
        </w:rPr>
      </w:pPr>
      <w:r>
        <w:rPr>
          <w:rFonts w:ascii="Arial" w:cs="Arial" w:eastAsia="Arial" w:hAnsi="Arial"/>
          <w:sz w:val="22"/>
          <w:szCs w:val="22"/>
          <w:color w:val="auto"/>
        </w:rPr>
        <w:t>Approve Subdivision Amendment (SUBA) 26-001 and Site Plan Design Review Modification (SPDRM) 26-013 (Shea Aura)</w:t>
      </w:r>
    </w:p>
    <w:p>
      <w:pPr>
        <w:spacing w:after="0" w:line="1" w:lineRule="exact"/>
        <w:rPr>
          <w:rFonts w:ascii="Arial" w:cs="Arial" w:eastAsia="Arial" w:hAnsi="Arial"/>
          <w:sz w:val="22"/>
          <w:szCs w:val="22"/>
          <w:color w:val="auto"/>
        </w:rPr>
      </w:pPr>
    </w:p>
    <w:p>
      <w:pPr>
        <w:ind w:left="600" w:right="660" w:hanging="300"/>
        <w:spacing w:after="0" w:line="306" w:lineRule="auto"/>
        <w:tabs>
          <w:tab w:leader="none" w:pos="600" w:val="left"/>
        </w:tabs>
        <w:numPr>
          <w:ilvl w:val="0"/>
          <w:numId w:val="1"/>
        </w:numPr>
        <w:rPr>
          <w:rFonts w:ascii="Arial" w:cs="Arial" w:eastAsia="Arial" w:hAnsi="Arial"/>
          <w:sz w:val="22"/>
          <w:szCs w:val="22"/>
          <w:color w:val="auto"/>
        </w:rPr>
      </w:pPr>
      <w:r>
        <w:rPr>
          <w:rFonts w:ascii="Arial" w:cs="Arial" w:eastAsia="Arial" w:hAnsi="Arial"/>
          <w:sz w:val="22"/>
          <w:szCs w:val="22"/>
          <w:color w:val="auto"/>
        </w:rPr>
        <w:t>Approve Subdivision Amendment (SUBA) 26-002 and Site Plan Design Review Modification (SPDRM) 26-014 (Shea Serenity)</w:t>
      </w:r>
    </w:p>
    <w:p>
      <w:pPr>
        <w:spacing w:after="0" w:line="141"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DECISION TYPE</w:t>
      </w:r>
    </w:p>
    <w:p>
      <w:pPr>
        <w:spacing w:after="0" w:line="325" w:lineRule="exact"/>
        <w:rPr>
          <w:sz w:val="24"/>
          <w:szCs w:val="24"/>
          <w:color w:val="auto"/>
        </w:rPr>
      </w:pPr>
    </w:p>
    <w:p>
      <w:pPr>
        <w:spacing w:after="0"/>
        <w:rPr>
          <w:sz w:val="20"/>
          <w:szCs w:val="20"/>
          <w:color w:val="auto"/>
        </w:rPr>
      </w:pPr>
      <w:r>
        <w:rPr>
          <w:rFonts w:ascii="Arial" w:cs="Arial" w:eastAsia="Arial" w:hAnsi="Arial"/>
          <w:sz w:val="22"/>
          <w:szCs w:val="22"/>
          <w:color w:val="auto"/>
        </w:rPr>
        <w:t>Legislative</w:t>
      </w:r>
    </w:p>
    <w:p>
      <w:pPr>
        <w:spacing w:after="0" w:line="249" w:lineRule="exact"/>
        <w:rPr>
          <w:sz w:val="24"/>
          <w:szCs w:val="24"/>
          <w:color w:val="auto"/>
        </w:rPr>
      </w:pPr>
    </w:p>
    <w:p>
      <w:pPr>
        <w:spacing w:after="0"/>
        <w:rPr>
          <w:sz w:val="20"/>
          <w:szCs w:val="20"/>
          <w:color w:val="auto"/>
        </w:rPr>
      </w:pPr>
      <w:r>
        <w:rPr>
          <w:rFonts w:ascii="Arial" w:cs="Arial" w:eastAsia="Arial" w:hAnsi="Arial"/>
          <w:sz w:val="22"/>
          <w:szCs w:val="22"/>
          <w:b w:val="1"/>
          <w:bCs w:val="1"/>
          <w:u w:val="single" w:color="auto"/>
          <w:color w:val="auto"/>
        </w:rPr>
        <w:t>SUMMARY</w:t>
      </w:r>
    </w:p>
    <w:p>
      <w:pPr>
        <w:spacing w:after="0" w:line="325" w:lineRule="exact"/>
        <w:rPr>
          <w:sz w:val="24"/>
          <w:szCs w:val="24"/>
          <w:color w:val="auto"/>
        </w:rPr>
      </w:pPr>
    </w:p>
    <w:p>
      <w:pPr>
        <w:spacing w:after="0" w:line="296" w:lineRule="auto"/>
        <w:rPr>
          <w:sz w:val="20"/>
          <w:szCs w:val="20"/>
          <w:color w:val="auto"/>
        </w:rPr>
      </w:pPr>
      <w:r>
        <w:rPr>
          <w:rFonts w:ascii="Arial" w:cs="Arial" w:eastAsia="Arial" w:hAnsi="Arial"/>
          <w:sz w:val="21"/>
          <w:szCs w:val="21"/>
          <w:color w:val="auto"/>
        </w:rPr>
        <w:t>The Shea Homes Aura and Serenity residential townhome projects were approved by the City Council in 2024 and 2022, respectively. Both projects were approved in full compliance with the housing affordability requirements set forth in the Livermore Development Code (LDC) Section 11.70.030 and the Isabel Neighborhood Specific Plan (INSP) and received Density Bonus concessions. The LDC ordinance allows for alternative means of compliance to meet the affordable housing requirements, however neither project included a request for alternative compliance options when it was originally approved. The</w:t>
      </w:r>
    </w:p>
    <w:p>
      <w:pPr>
        <w:sectPr>
          <w:pgSz w:w="12240" w:h="15840" w:orient="portrait"/>
          <w:cols w:equalWidth="0" w:num="1">
            <w:col w:w="10020"/>
          </w:cols>
          <w:pgMar w:left="1080" w:top="1440" w:right="1140" w:bottom="605" w:gutter="0" w:footer="0" w:header="0"/>
        </w:sectPr>
      </w:pPr>
    </w:p>
    <w:p>
      <w:pPr>
        <w:ind w:right="600"/>
        <w:spacing w:after="0" w:line="290" w:lineRule="auto"/>
        <w:rPr>
          <w:sz w:val="20"/>
          <w:szCs w:val="20"/>
          <w:color w:val="auto"/>
        </w:rPr>
      </w:pPr>
      <w:r>
        <w:rPr>
          <w:rFonts w:ascii="Arial" w:cs="Arial" w:eastAsia="Arial" w:hAnsi="Arial"/>
          <w:sz w:val="22"/>
          <w:szCs w:val="22"/>
          <w:color w:val="auto"/>
        </w:rPr>
        <w:t>applicant has experienced increased difficulty selling moderate-income for-sale units due to market conditions and is requesting to amend the approved projects to authorize an alternative means of compliance to satisfy the affordability requirement.</w:t>
      </w:r>
    </w:p>
    <w:p>
      <w:pPr>
        <w:spacing w:after="0" w:line="234" w:lineRule="exact"/>
        <w:rPr>
          <w:sz w:val="20"/>
          <w:szCs w:val="20"/>
          <w:color w:val="auto"/>
        </w:rPr>
      </w:pPr>
    </w:p>
    <w:p>
      <w:pPr>
        <w:ind w:right="80"/>
        <w:spacing w:after="0" w:line="282" w:lineRule="auto"/>
        <w:rPr>
          <w:sz w:val="20"/>
          <w:szCs w:val="20"/>
          <w:color w:val="auto"/>
        </w:rPr>
      </w:pPr>
      <w:r>
        <w:rPr>
          <w:rFonts w:ascii="Arial" w:cs="Arial" w:eastAsia="Arial" w:hAnsi="Arial"/>
          <w:sz w:val="22"/>
          <w:szCs w:val="22"/>
          <w:color w:val="auto"/>
        </w:rPr>
        <w:t>Shea Aura, located at the southwest corner of the Portola Avenue and Tranquility Circle intersection within the Isabel Neighborhood Specific Plan, is currently under review for the Final Map. Shea Serenity, located at the northeast corner of Portola Avenue and Collier Canyon Road, within the Isabel Neighborhood Specific Plan, is currently under construction and has sold some units. See Attachment 1 Location Map.</w:t>
      </w:r>
    </w:p>
    <w:p>
      <w:pPr>
        <w:spacing w:after="0" w:line="168"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DISCUSSION</w:t>
      </w:r>
    </w:p>
    <w:p>
      <w:pPr>
        <w:spacing w:after="0" w:line="325"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BACKGROUND</w:t>
      </w:r>
    </w:p>
    <w:p>
      <w:pPr>
        <w:spacing w:after="0" w:line="323" w:lineRule="exact"/>
        <w:rPr>
          <w:sz w:val="20"/>
          <w:szCs w:val="20"/>
          <w:color w:val="auto"/>
        </w:rPr>
      </w:pPr>
    </w:p>
    <w:p>
      <w:pPr>
        <w:ind w:right="100"/>
        <w:spacing w:after="0" w:line="285" w:lineRule="auto"/>
        <w:rPr>
          <w:sz w:val="20"/>
          <w:szCs w:val="20"/>
          <w:color w:val="auto"/>
        </w:rPr>
      </w:pPr>
      <w:r>
        <w:rPr>
          <w:rFonts w:ascii="Arial" w:cs="Arial" w:eastAsia="Arial" w:hAnsi="Arial"/>
          <w:sz w:val="22"/>
          <w:szCs w:val="22"/>
          <w:color w:val="auto"/>
        </w:rPr>
        <w:t>On July 25, 2022, the City Council approved the Serenity Project for a total of 299 units, consisting of 89 for-sale condominium units and 210 for-rent apartments. The Serenity Project included 60 affordable units and 51 accessible units at the time of approval. It is located at the southwest corner of the Portola Avenue and Tranquility Circle intersection within the Isabel Neighborhood Specific Plan.</w:t>
      </w:r>
    </w:p>
    <w:p>
      <w:pPr>
        <w:spacing w:after="0" w:line="238" w:lineRule="exact"/>
        <w:rPr>
          <w:sz w:val="20"/>
          <w:szCs w:val="20"/>
          <w:color w:val="auto"/>
        </w:rPr>
      </w:pPr>
    </w:p>
    <w:p>
      <w:pPr>
        <w:ind w:right="540"/>
        <w:spacing w:after="0" w:line="291" w:lineRule="auto"/>
        <w:rPr>
          <w:sz w:val="20"/>
          <w:szCs w:val="20"/>
          <w:color w:val="auto"/>
        </w:rPr>
      </w:pPr>
      <w:r>
        <w:rPr>
          <w:rFonts w:ascii="Arial" w:cs="Arial" w:eastAsia="Arial" w:hAnsi="Arial"/>
          <w:sz w:val="22"/>
          <w:szCs w:val="22"/>
          <w:color w:val="auto"/>
        </w:rPr>
        <w:t>On July 8, 2024, the City Council approved the Aura Project for 164 for-sale condominium units, including 33 affordable units and 17 accessible units. It is located at the northeast corner of Portola Avenue and Collier Canyon Road, also within the Isabel Neighborhood Specific Plan.</w:t>
      </w:r>
    </w:p>
    <w:p>
      <w:pPr>
        <w:spacing w:after="0" w:line="232" w:lineRule="exact"/>
        <w:rPr>
          <w:sz w:val="20"/>
          <w:szCs w:val="20"/>
          <w:color w:val="auto"/>
        </w:rPr>
      </w:pPr>
    </w:p>
    <w:p>
      <w:pPr>
        <w:ind w:right="120"/>
        <w:spacing w:after="0" w:line="293" w:lineRule="auto"/>
        <w:rPr>
          <w:sz w:val="20"/>
          <w:szCs w:val="20"/>
          <w:color w:val="auto"/>
        </w:rPr>
      </w:pPr>
      <w:r>
        <w:rPr>
          <w:rFonts w:ascii="Arial" w:cs="Arial" w:eastAsia="Arial" w:hAnsi="Arial"/>
          <w:sz w:val="21"/>
          <w:szCs w:val="21"/>
          <w:color w:val="auto"/>
        </w:rPr>
        <w:t>Both projects were approved in full compliance with the affordability requirements set forth in the Livermore Development Code (LDC) Section 11.70.030 and the Isabel Neighborhood Specific Plan (INSP) and received Density Bonus concessions. The LDC ordinance does allow for alternative means of compliance, such as in-lieu fees, but any alternative means must be requested and approved when the project's entitlements are approved by the City Council. Neither project included alternative compliance options at entitlement. Therefore, the applicant is now proposing to amend the original land use entitlements to request the City Council approve the alternative means of compliance. The Planning Commission role for this project is to make recommendations to the City Council.</w:t>
      </w:r>
    </w:p>
    <w:p>
      <w:pPr>
        <w:spacing w:after="0" w:line="234"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REQUEST FOR ALTERNATIVE MEANS OF COMPLIANCE</w:t>
      </w:r>
    </w:p>
    <w:p>
      <w:pPr>
        <w:spacing w:after="0" w:line="323" w:lineRule="exact"/>
        <w:rPr>
          <w:sz w:val="20"/>
          <w:szCs w:val="20"/>
          <w:color w:val="auto"/>
        </w:rPr>
      </w:pPr>
    </w:p>
    <w:p>
      <w:pPr>
        <w:ind w:right="300"/>
        <w:spacing w:after="0" w:line="282" w:lineRule="auto"/>
        <w:rPr>
          <w:sz w:val="20"/>
          <w:szCs w:val="20"/>
          <w:color w:val="auto"/>
        </w:rPr>
      </w:pPr>
      <w:r>
        <w:rPr>
          <w:rFonts w:ascii="Arial" w:cs="Arial" w:eastAsia="Arial" w:hAnsi="Arial"/>
          <w:sz w:val="22"/>
          <w:szCs w:val="22"/>
          <w:color w:val="auto"/>
        </w:rPr>
        <w:t>The townhome portion of the Serenity Project is currently under construction, and the Aura Project is targeting Final Map approval this upcoming July. The 210 for-rent apartment units included in Shea Serenity are under construction and are not included in this request. Due to market conditions, the applicant, Shea Homes, has experienced increased difficulty selling moderate-income for-sale units at Serenity and anticipates similar challenges with the Aura Project.</w:t>
      </w:r>
    </w:p>
    <w:p>
      <w:pPr>
        <w:spacing w:after="0" w:line="242" w:lineRule="exact"/>
        <w:rPr>
          <w:sz w:val="20"/>
          <w:szCs w:val="20"/>
          <w:color w:val="auto"/>
        </w:rPr>
      </w:pPr>
    </w:p>
    <w:p>
      <w:pPr>
        <w:spacing w:after="0" w:line="278" w:lineRule="auto"/>
        <w:rPr>
          <w:sz w:val="20"/>
          <w:szCs w:val="20"/>
          <w:color w:val="auto"/>
        </w:rPr>
      </w:pPr>
      <w:r>
        <w:rPr>
          <w:rFonts w:ascii="Arial" w:cs="Arial" w:eastAsia="Arial" w:hAnsi="Arial"/>
          <w:sz w:val="22"/>
          <w:szCs w:val="22"/>
          <w:color w:val="auto"/>
        </w:rPr>
        <w:t>Moderate-income units are the majority of the for-sale opportunities offered in the City's Affordable Homeownership Program, but they have become increasingly difficult to sell according to the applicant, Shea Homes. Demand is higher for one- and two-bedroom units among smaller households, but only three-bedroom moderate-income units are offered by the applicant. Additionally, through the City's Affordable Homeownership Program, qualified buyers are declining opportunities to purchase the units due to financial uncertainty and the overall cost of ownership. For many moderate-income households, renting remains more affordable than purchasing, even at the restricted price. As a result, a portion of the constructed moderate-income units at Serenity have remained unsold for extended periods.</w:t>
      </w:r>
    </w:p>
    <w:p>
      <w:pPr>
        <w:sectPr>
          <w:pgSz w:w="12240" w:h="15840" w:orient="portrait"/>
          <w:cols w:equalWidth="0" w:num="1">
            <w:col w:w="10020"/>
          </w:cols>
          <w:pgMar w:left="1080" w:top="825" w:right="1140" w:bottom="660" w:gutter="0" w:footer="0" w:header="0"/>
        </w:sectPr>
      </w:pPr>
    </w:p>
    <w:p>
      <w:pPr>
        <w:ind w:right="20"/>
        <w:spacing w:after="0" w:line="278" w:lineRule="auto"/>
        <w:rPr>
          <w:sz w:val="20"/>
          <w:szCs w:val="20"/>
          <w:color w:val="auto"/>
        </w:rPr>
      </w:pPr>
      <w:r>
        <w:rPr>
          <w:rFonts w:ascii="Arial" w:cs="Arial" w:eastAsia="Arial" w:hAnsi="Arial"/>
          <w:sz w:val="22"/>
          <w:szCs w:val="22"/>
          <w:color w:val="auto"/>
        </w:rPr>
        <w:t>For these reasons, the applicant is requesting to amend the approved projects to authorize an alternative means of compliance for previously approved moderate-income units, such as an in-lieu payment, to satisfy the affordability requirement instead of providing the affordable units on site. The total number of units for both projects would remain unchanged, and a portion of the moderate-income units would instead be sold at market-rate. To maintain the concessions and waivers the projects were granted under Sate Density Bonus Law, they must maintain a minimum 10% of overall units as affordable provided on site. Therefore, only a portion of the approved moderate-income units would be authorized for an alternative means of compliance, as shown in the table below:</w:t>
      </w:r>
    </w:p>
    <w:p>
      <w:pPr>
        <w:spacing w:after="0" w:line="235" w:lineRule="exact"/>
        <w:rPr>
          <w:sz w:val="20"/>
          <w:szCs w:val="20"/>
          <w:color w:val="auto"/>
        </w:rPr>
      </w:pPr>
    </w:p>
    <w:tbl>
      <w:tblPr>
        <w:tblLayout w:type="fixed"/>
        <w:tblInd w:w="10" w:type="dxa"/>
        <w:tblCellMar>
          <w:top w:w="0" w:type="dxa"/>
          <w:left w:w="0" w:type="dxa"/>
          <w:bottom w:w="0" w:type="dxa"/>
          <w:right w:w="0" w:type="dxa"/>
        </w:tblCellMar>
      </w:tblPr>
      <w:tr>
        <w:trPr>
          <w:trHeight w:val="269"/>
        </w:trPr>
        <w:tc>
          <w:tcPr>
            <w:tcW w:w="2520" w:type="dxa"/>
            <w:vAlign w:val="bottom"/>
            <w:tcBorders>
              <w:top w:val="single" w:sz="8" w:color="2C2C2C"/>
              <w:left w:val="single" w:sz="8" w:color="2C2C2C"/>
              <w:right w:val="single" w:sz="8" w:color="808080"/>
            </w:tcBorders>
          </w:tcPr>
          <w:p>
            <w:pPr>
              <w:spacing w:after="0"/>
              <w:rPr>
                <w:sz w:val="23"/>
                <w:szCs w:val="23"/>
                <w:color w:val="auto"/>
              </w:rPr>
            </w:pPr>
          </w:p>
        </w:tc>
        <w:tc>
          <w:tcPr>
            <w:tcW w:w="2500" w:type="dxa"/>
            <w:vAlign w:val="bottom"/>
            <w:tcBorders>
              <w:top w:val="single" w:sz="8" w:color="2C2C2C"/>
              <w:right w:val="single" w:sz="8" w:color="808080"/>
            </w:tcBorders>
          </w:tcPr>
          <w:p>
            <w:pPr>
              <w:spacing w:after="0"/>
              <w:rPr>
                <w:sz w:val="23"/>
                <w:szCs w:val="23"/>
                <w:color w:val="auto"/>
              </w:rPr>
            </w:pPr>
          </w:p>
        </w:tc>
        <w:tc>
          <w:tcPr>
            <w:tcW w:w="2500" w:type="dxa"/>
            <w:vAlign w:val="bottom"/>
            <w:tcBorders>
              <w:top w:val="single" w:sz="8" w:color="2C2C2C"/>
              <w:right w:val="single" w:sz="8" w:color="808080"/>
            </w:tcBorders>
          </w:tcPr>
          <w:p>
            <w:pPr>
              <w:jc w:val="center"/>
              <w:spacing w:after="0"/>
              <w:rPr>
                <w:sz w:val="20"/>
                <w:szCs w:val="20"/>
                <w:color w:val="auto"/>
              </w:rPr>
            </w:pPr>
            <w:r>
              <w:rPr>
                <w:rFonts w:ascii="Arial" w:cs="Arial" w:eastAsia="Arial" w:hAnsi="Arial"/>
                <w:sz w:val="22"/>
                <w:szCs w:val="22"/>
                <w:color w:val="auto"/>
                <w:w w:val="97"/>
              </w:rPr>
              <w:t>Minimum Required for</w:t>
            </w:r>
          </w:p>
        </w:tc>
        <w:tc>
          <w:tcPr>
            <w:tcW w:w="2520" w:type="dxa"/>
            <w:vAlign w:val="bottom"/>
            <w:tcBorders>
              <w:top w:val="single" w:sz="8" w:color="2C2C2C"/>
              <w:right w:val="single" w:sz="8" w:color="2C2C2C"/>
            </w:tcBorders>
            <w:vMerge w:val="restart"/>
          </w:tcPr>
          <w:p>
            <w:pPr>
              <w:jc w:val="center"/>
              <w:spacing w:after="0"/>
              <w:rPr>
                <w:sz w:val="20"/>
                <w:szCs w:val="20"/>
                <w:color w:val="auto"/>
              </w:rPr>
            </w:pPr>
            <w:r>
              <w:rPr>
                <w:rFonts w:ascii="Arial" w:cs="Arial" w:eastAsia="Arial" w:hAnsi="Arial"/>
                <w:sz w:val="22"/>
                <w:szCs w:val="22"/>
                <w:color w:val="auto"/>
                <w:w w:val="97"/>
              </w:rPr>
              <w:t>Maximum Authorized for</w:t>
            </w:r>
          </w:p>
        </w:tc>
        <w:tc>
          <w:tcPr>
            <w:tcW w:w="0" w:type="dxa"/>
            <w:vAlign w:val="bottom"/>
          </w:tcPr>
          <w:p>
            <w:pPr>
              <w:spacing w:after="0"/>
              <w:rPr>
                <w:sz w:val="1"/>
                <w:szCs w:val="1"/>
                <w:color w:val="auto"/>
              </w:rPr>
            </w:pPr>
          </w:p>
        </w:tc>
      </w:tr>
      <w:tr>
        <w:trPr>
          <w:trHeight w:val="132"/>
        </w:trPr>
        <w:tc>
          <w:tcPr>
            <w:tcW w:w="2520" w:type="dxa"/>
            <w:vAlign w:val="bottom"/>
            <w:tcBorders>
              <w:left w:val="single" w:sz="8" w:color="2C2C2C"/>
              <w:right w:val="single" w:sz="8" w:color="808080"/>
            </w:tcBorders>
          </w:tcPr>
          <w:p>
            <w:pPr>
              <w:spacing w:after="0"/>
              <w:rPr>
                <w:sz w:val="11"/>
                <w:szCs w:val="11"/>
                <w:color w:val="auto"/>
              </w:rPr>
            </w:pP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Originally Approved to be</w:t>
            </w: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Density Bonus (10%)</w:t>
            </w:r>
          </w:p>
        </w:tc>
        <w:tc>
          <w:tcPr>
            <w:tcW w:w="2520" w:type="dxa"/>
            <w:vAlign w:val="bottom"/>
            <w:tcBorders>
              <w:right w:val="single" w:sz="8" w:color="2C2C2C"/>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20"/>
        </w:trPr>
        <w:tc>
          <w:tcPr>
            <w:tcW w:w="2520" w:type="dxa"/>
            <w:vAlign w:val="bottom"/>
            <w:tcBorders>
              <w:left w:val="single" w:sz="8" w:color="2C2C2C"/>
              <w:right w:val="single" w:sz="8" w:color="808080"/>
            </w:tcBorders>
          </w:tcPr>
          <w:p>
            <w:pPr>
              <w:spacing w:after="0"/>
              <w:rPr>
                <w:sz w:val="10"/>
                <w:szCs w:val="10"/>
                <w:color w:val="auto"/>
              </w:rPr>
            </w:pPr>
          </w:p>
        </w:tc>
        <w:tc>
          <w:tcPr>
            <w:tcW w:w="2500" w:type="dxa"/>
            <w:vAlign w:val="bottom"/>
            <w:tcBorders>
              <w:right w:val="single" w:sz="8" w:color="808080"/>
            </w:tcBorders>
            <w:vMerge w:val="continue"/>
          </w:tcPr>
          <w:p>
            <w:pPr>
              <w:spacing w:after="0"/>
              <w:rPr>
                <w:sz w:val="10"/>
                <w:szCs w:val="10"/>
                <w:color w:val="auto"/>
              </w:rPr>
            </w:pPr>
          </w:p>
        </w:tc>
        <w:tc>
          <w:tcPr>
            <w:tcW w:w="2500" w:type="dxa"/>
            <w:vAlign w:val="bottom"/>
            <w:tcBorders>
              <w:right w:val="single" w:sz="8" w:color="808080"/>
            </w:tcBorders>
            <w:vMerge w:val="continue"/>
          </w:tcPr>
          <w:p>
            <w:pPr>
              <w:spacing w:after="0"/>
              <w:rPr>
                <w:sz w:val="10"/>
                <w:szCs w:val="10"/>
                <w:color w:val="auto"/>
              </w:rPr>
            </w:pPr>
          </w:p>
        </w:tc>
        <w:tc>
          <w:tcPr>
            <w:tcW w:w="2520" w:type="dxa"/>
            <w:vAlign w:val="bottom"/>
            <w:tcBorders>
              <w:right w:val="single" w:sz="8" w:color="2C2C2C"/>
            </w:tcBorders>
            <w:vMerge w:val="restart"/>
          </w:tcPr>
          <w:p>
            <w:pPr>
              <w:jc w:val="center"/>
              <w:spacing w:after="0"/>
              <w:rPr>
                <w:sz w:val="20"/>
                <w:szCs w:val="20"/>
                <w:color w:val="auto"/>
              </w:rPr>
            </w:pPr>
            <w:r>
              <w:rPr>
                <w:rFonts w:ascii="Arial" w:cs="Arial" w:eastAsia="Arial" w:hAnsi="Arial"/>
                <w:sz w:val="22"/>
                <w:szCs w:val="22"/>
                <w:color w:val="auto"/>
                <w:w w:val="97"/>
              </w:rPr>
              <w:t>Alternative Compliance</w:t>
            </w:r>
          </w:p>
        </w:tc>
        <w:tc>
          <w:tcPr>
            <w:tcW w:w="0" w:type="dxa"/>
            <w:vAlign w:val="bottom"/>
          </w:tcPr>
          <w:p>
            <w:pPr>
              <w:spacing w:after="0"/>
              <w:rPr>
                <w:sz w:val="1"/>
                <w:szCs w:val="1"/>
                <w:color w:val="auto"/>
              </w:rPr>
            </w:pPr>
          </w:p>
        </w:tc>
      </w:tr>
      <w:tr>
        <w:trPr>
          <w:trHeight w:val="132"/>
        </w:trPr>
        <w:tc>
          <w:tcPr>
            <w:tcW w:w="2520" w:type="dxa"/>
            <w:vAlign w:val="bottom"/>
            <w:tcBorders>
              <w:left w:val="single" w:sz="8" w:color="2C2C2C"/>
              <w:right w:val="single" w:sz="8" w:color="808080"/>
            </w:tcBorders>
          </w:tcPr>
          <w:p>
            <w:pPr>
              <w:spacing w:after="0"/>
              <w:rPr>
                <w:sz w:val="11"/>
                <w:szCs w:val="11"/>
                <w:color w:val="auto"/>
              </w:rPr>
            </w:pP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9"/>
              </w:rPr>
              <w:t>provided on site</w:t>
            </w: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proposed on site by</w:t>
            </w:r>
          </w:p>
        </w:tc>
        <w:tc>
          <w:tcPr>
            <w:tcW w:w="2520" w:type="dxa"/>
            <w:vAlign w:val="bottom"/>
            <w:tcBorders>
              <w:right w:val="single" w:sz="8" w:color="2C2C2C"/>
            </w:tcBorders>
            <w:vMerge w:val="continue"/>
          </w:tcPr>
          <w:p>
            <w:pPr>
              <w:spacing w:after="0"/>
              <w:rPr>
                <w:sz w:val="11"/>
                <w:szCs w:val="11"/>
                <w:color w:val="auto"/>
              </w:rPr>
            </w:pPr>
          </w:p>
        </w:tc>
        <w:tc>
          <w:tcPr>
            <w:tcW w:w="0" w:type="dxa"/>
            <w:vAlign w:val="bottom"/>
          </w:tcPr>
          <w:p>
            <w:pPr>
              <w:spacing w:after="0"/>
              <w:rPr>
                <w:sz w:val="1"/>
                <w:szCs w:val="1"/>
                <w:color w:val="auto"/>
              </w:rPr>
            </w:pPr>
          </w:p>
        </w:tc>
      </w:tr>
      <w:tr>
        <w:trPr>
          <w:trHeight w:val="120"/>
        </w:trPr>
        <w:tc>
          <w:tcPr>
            <w:tcW w:w="2520" w:type="dxa"/>
            <w:vAlign w:val="bottom"/>
            <w:tcBorders>
              <w:left w:val="single" w:sz="8" w:color="2C2C2C"/>
              <w:right w:val="single" w:sz="8" w:color="808080"/>
            </w:tcBorders>
          </w:tcPr>
          <w:p>
            <w:pPr>
              <w:spacing w:after="0"/>
              <w:rPr>
                <w:sz w:val="10"/>
                <w:szCs w:val="10"/>
                <w:color w:val="auto"/>
              </w:rPr>
            </w:pPr>
          </w:p>
        </w:tc>
        <w:tc>
          <w:tcPr>
            <w:tcW w:w="2500" w:type="dxa"/>
            <w:vAlign w:val="bottom"/>
            <w:tcBorders>
              <w:right w:val="single" w:sz="8" w:color="808080"/>
            </w:tcBorders>
            <w:vMerge w:val="continue"/>
          </w:tcPr>
          <w:p>
            <w:pPr>
              <w:spacing w:after="0"/>
              <w:rPr>
                <w:sz w:val="10"/>
                <w:szCs w:val="10"/>
                <w:color w:val="auto"/>
              </w:rPr>
            </w:pPr>
          </w:p>
        </w:tc>
        <w:tc>
          <w:tcPr>
            <w:tcW w:w="2500" w:type="dxa"/>
            <w:vAlign w:val="bottom"/>
            <w:tcBorders>
              <w:right w:val="single" w:sz="8" w:color="808080"/>
            </w:tcBorders>
            <w:vMerge w:val="continue"/>
          </w:tcPr>
          <w:p>
            <w:pPr>
              <w:spacing w:after="0"/>
              <w:rPr>
                <w:sz w:val="10"/>
                <w:szCs w:val="10"/>
                <w:color w:val="auto"/>
              </w:rPr>
            </w:pPr>
          </w:p>
        </w:tc>
        <w:tc>
          <w:tcPr>
            <w:tcW w:w="2520" w:type="dxa"/>
            <w:vAlign w:val="bottom"/>
            <w:tcBorders>
              <w:right w:val="single" w:sz="8" w:color="2C2C2C"/>
            </w:tcBorders>
            <w:vMerge w:val="restart"/>
          </w:tcPr>
          <w:p>
            <w:pPr>
              <w:jc w:val="center"/>
              <w:spacing w:after="0"/>
              <w:rPr>
                <w:sz w:val="20"/>
                <w:szCs w:val="20"/>
                <w:color w:val="auto"/>
              </w:rPr>
            </w:pPr>
            <w:r>
              <w:rPr>
                <w:rFonts w:ascii="Arial" w:cs="Arial" w:eastAsia="Arial" w:hAnsi="Arial"/>
                <w:sz w:val="22"/>
                <w:szCs w:val="22"/>
                <w:color w:val="auto"/>
                <w:w w:val="98"/>
              </w:rPr>
              <w:t>proposed by applicant</w:t>
            </w:r>
          </w:p>
        </w:tc>
        <w:tc>
          <w:tcPr>
            <w:tcW w:w="0" w:type="dxa"/>
            <w:vAlign w:val="bottom"/>
          </w:tcPr>
          <w:p>
            <w:pPr>
              <w:spacing w:after="0"/>
              <w:rPr>
                <w:sz w:val="1"/>
                <w:szCs w:val="1"/>
                <w:color w:val="auto"/>
              </w:rPr>
            </w:pPr>
          </w:p>
        </w:tc>
      </w:tr>
      <w:tr>
        <w:trPr>
          <w:trHeight w:val="171"/>
        </w:trPr>
        <w:tc>
          <w:tcPr>
            <w:tcW w:w="2520" w:type="dxa"/>
            <w:vAlign w:val="bottom"/>
            <w:tcBorders>
              <w:left w:val="single" w:sz="8" w:color="2C2C2C"/>
              <w:right w:val="single" w:sz="8" w:color="808080"/>
            </w:tcBorders>
          </w:tcPr>
          <w:p>
            <w:pPr>
              <w:spacing w:after="0"/>
              <w:rPr>
                <w:sz w:val="14"/>
                <w:szCs w:val="14"/>
                <w:color w:val="auto"/>
              </w:rPr>
            </w:pPr>
          </w:p>
        </w:tc>
        <w:tc>
          <w:tcPr>
            <w:tcW w:w="2500" w:type="dxa"/>
            <w:vAlign w:val="bottom"/>
            <w:tcBorders>
              <w:right w:val="single" w:sz="8" w:color="808080"/>
            </w:tcBorders>
          </w:tcPr>
          <w:p>
            <w:pPr>
              <w:spacing w:after="0"/>
              <w:rPr>
                <w:sz w:val="14"/>
                <w:szCs w:val="14"/>
                <w:color w:val="auto"/>
              </w:rPr>
            </w:pP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applicant</w:t>
            </w:r>
          </w:p>
        </w:tc>
        <w:tc>
          <w:tcPr>
            <w:tcW w:w="2520" w:type="dxa"/>
            <w:vAlign w:val="bottom"/>
            <w:tcBorders>
              <w:right w:val="single" w:sz="8" w:color="2C2C2C"/>
            </w:tcBorders>
            <w:vMerge w:val="continue"/>
          </w:tcPr>
          <w:p>
            <w:pPr>
              <w:spacing w:after="0"/>
              <w:rPr>
                <w:sz w:val="14"/>
                <w:szCs w:val="14"/>
                <w:color w:val="auto"/>
              </w:rPr>
            </w:pPr>
          </w:p>
        </w:tc>
        <w:tc>
          <w:tcPr>
            <w:tcW w:w="0" w:type="dxa"/>
            <w:vAlign w:val="bottom"/>
          </w:tcPr>
          <w:p>
            <w:pPr>
              <w:spacing w:after="0"/>
              <w:rPr>
                <w:sz w:val="1"/>
                <w:szCs w:val="1"/>
                <w:color w:val="auto"/>
              </w:rPr>
            </w:pPr>
          </w:p>
        </w:tc>
      </w:tr>
      <w:tr>
        <w:trPr>
          <w:trHeight w:val="120"/>
        </w:trPr>
        <w:tc>
          <w:tcPr>
            <w:tcW w:w="2520" w:type="dxa"/>
            <w:vAlign w:val="bottom"/>
            <w:tcBorders>
              <w:left w:val="single" w:sz="8" w:color="2C2C2C"/>
              <w:right w:val="single" w:sz="8" w:color="808080"/>
            </w:tcBorders>
          </w:tcPr>
          <w:p>
            <w:pPr>
              <w:spacing w:after="0"/>
              <w:rPr>
                <w:sz w:val="10"/>
                <w:szCs w:val="10"/>
                <w:color w:val="auto"/>
              </w:rPr>
            </w:pPr>
          </w:p>
        </w:tc>
        <w:tc>
          <w:tcPr>
            <w:tcW w:w="2500" w:type="dxa"/>
            <w:vAlign w:val="bottom"/>
            <w:tcBorders>
              <w:right w:val="single" w:sz="8" w:color="808080"/>
            </w:tcBorders>
          </w:tcPr>
          <w:p>
            <w:pPr>
              <w:spacing w:after="0"/>
              <w:rPr>
                <w:sz w:val="10"/>
                <w:szCs w:val="10"/>
                <w:color w:val="auto"/>
              </w:rPr>
            </w:pPr>
          </w:p>
        </w:tc>
        <w:tc>
          <w:tcPr>
            <w:tcW w:w="2500" w:type="dxa"/>
            <w:vAlign w:val="bottom"/>
            <w:tcBorders>
              <w:right w:val="single" w:sz="8" w:color="808080"/>
            </w:tcBorders>
            <w:vMerge w:val="continue"/>
          </w:tcPr>
          <w:p>
            <w:pPr>
              <w:spacing w:after="0"/>
              <w:rPr>
                <w:sz w:val="10"/>
                <w:szCs w:val="10"/>
                <w:color w:val="auto"/>
              </w:rPr>
            </w:pPr>
          </w:p>
        </w:tc>
        <w:tc>
          <w:tcPr>
            <w:tcW w:w="2520" w:type="dxa"/>
            <w:vAlign w:val="bottom"/>
            <w:tcBorders>
              <w:right w:val="single" w:sz="8" w:color="2C2C2C"/>
            </w:tcBorders>
          </w:tcPr>
          <w:p>
            <w:pPr>
              <w:spacing w:after="0"/>
              <w:rPr>
                <w:sz w:val="10"/>
                <w:szCs w:val="10"/>
                <w:color w:val="auto"/>
              </w:rPr>
            </w:pPr>
          </w:p>
        </w:tc>
        <w:tc>
          <w:tcPr>
            <w:tcW w:w="0" w:type="dxa"/>
            <w:vAlign w:val="bottom"/>
          </w:tcPr>
          <w:p>
            <w:pPr>
              <w:spacing w:after="0"/>
              <w:rPr>
                <w:sz w:val="1"/>
                <w:szCs w:val="1"/>
                <w:color w:val="auto"/>
              </w:rPr>
            </w:pPr>
          </w:p>
        </w:tc>
      </w:tr>
      <w:tr>
        <w:trPr>
          <w:trHeight w:val="40"/>
        </w:trPr>
        <w:tc>
          <w:tcPr>
            <w:tcW w:w="2520" w:type="dxa"/>
            <w:vAlign w:val="bottom"/>
            <w:tcBorders>
              <w:left w:val="single" w:sz="8" w:color="2C2C2C"/>
              <w:bottom w:val="single" w:sz="8" w:color="808080"/>
              <w:right w:val="single" w:sz="8" w:color="808080"/>
            </w:tcBorders>
          </w:tcPr>
          <w:p>
            <w:pPr>
              <w:spacing w:after="0"/>
              <w:rPr>
                <w:sz w:val="3"/>
                <w:szCs w:val="3"/>
                <w:color w:val="auto"/>
              </w:rPr>
            </w:pPr>
          </w:p>
        </w:tc>
        <w:tc>
          <w:tcPr>
            <w:tcW w:w="2500" w:type="dxa"/>
            <w:vAlign w:val="bottom"/>
            <w:tcBorders>
              <w:bottom w:val="single" w:sz="8" w:color="808080"/>
              <w:right w:val="single" w:sz="8" w:color="808080"/>
            </w:tcBorders>
          </w:tcPr>
          <w:p>
            <w:pPr>
              <w:spacing w:after="0"/>
              <w:rPr>
                <w:sz w:val="3"/>
                <w:szCs w:val="3"/>
                <w:color w:val="auto"/>
              </w:rPr>
            </w:pPr>
          </w:p>
        </w:tc>
        <w:tc>
          <w:tcPr>
            <w:tcW w:w="2500" w:type="dxa"/>
            <w:vAlign w:val="bottom"/>
            <w:tcBorders>
              <w:bottom w:val="single" w:sz="8" w:color="808080"/>
              <w:right w:val="single" w:sz="8" w:color="808080"/>
            </w:tcBorders>
          </w:tcPr>
          <w:p>
            <w:pPr>
              <w:spacing w:after="0"/>
              <w:rPr>
                <w:sz w:val="3"/>
                <w:szCs w:val="3"/>
                <w:color w:val="auto"/>
              </w:rPr>
            </w:pPr>
          </w:p>
        </w:tc>
        <w:tc>
          <w:tcPr>
            <w:tcW w:w="2520" w:type="dxa"/>
            <w:vAlign w:val="bottom"/>
            <w:tcBorders>
              <w:bottom w:val="single" w:sz="8" w:color="808080"/>
              <w:right w:val="single" w:sz="8" w:color="2C2C2C"/>
            </w:tcBorders>
          </w:tcPr>
          <w:p>
            <w:pPr>
              <w:spacing w:after="0"/>
              <w:rPr>
                <w:sz w:val="3"/>
                <w:szCs w:val="3"/>
                <w:color w:val="auto"/>
              </w:rPr>
            </w:pPr>
          </w:p>
        </w:tc>
        <w:tc>
          <w:tcPr>
            <w:tcW w:w="0" w:type="dxa"/>
            <w:vAlign w:val="bottom"/>
          </w:tcPr>
          <w:p>
            <w:pPr>
              <w:spacing w:after="0"/>
              <w:rPr>
                <w:sz w:val="1"/>
                <w:szCs w:val="1"/>
                <w:color w:val="auto"/>
              </w:rPr>
            </w:pPr>
          </w:p>
        </w:tc>
      </w:tr>
      <w:tr>
        <w:trPr>
          <w:trHeight w:val="333"/>
        </w:trPr>
        <w:tc>
          <w:tcPr>
            <w:tcW w:w="2520" w:type="dxa"/>
            <w:vAlign w:val="bottom"/>
            <w:tcBorders>
              <w:left w:val="single" w:sz="8" w:color="2C2C2C"/>
              <w:right w:val="single" w:sz="8" w:color="808080"/>
            </w:tcBorders>
            <w:vMerge w:val="restart"/>
          </w:tcPr>
          <w:p>
            <w:pPr>
              <w:ind w:left="20"/>
              <w:spacing w:after="0"/>
              <w:rPr>
                <w:sz w:val="20"/>
                <w:szCs w:val="20"/>
                <w:color w:val="auto"/>
              </w:rPr>
            </w:pPr>
            <w:r>
              <w:rPr>
                <w:rFonts w:ascii="Arial" w:cs="Arial" w:eastAsia="Arial" w:hAnsi="Arial"/>
                <w:sz w:val="22"/>
                <w:szCs w:val="22"/>
                <w:color w:val="auto"/>
              </w:rPr>
              <w:t>Aura</w:t>
            </w:r>
          </w:p>
        </w:tc>
        <w:tc>
          <w:tcPr>
            <w:tcW w:w="2500" w:type="dxa"/>
            <w:vAlign w:val="bottom"/>
            <w:tcBorders>
              <w:right w:val="single" w:sz="8" w:color="808080"/>
            </w:tcBorders>
          </w:tcPr>
          <w:p>
            <w:pPr>
              <w:jc w:val="center"/>
              <w:spacing w:after="0"/>
              <w:rPr>
                <w:sz w:val="20"/>
                <w:szCs w:val="20"/>
                <w:color w:val="auto"/>
              </w:rPr>
            </w:pPr>
            <w:r>
              <w:rPr>
                <w:rFonts w:ascii="Arial" w:cs="Arial" w:eastAsia="Arial" w:hAnsi="Arial"/>
                <w:sz w:val="22"/>
                <w:szCs w:val="22"/>
                <w:color w:val="auto"/>
                <w:w w:val="97"/>
              </w:rPr>
              <w:t>Moderate: 24 units</w:t>
            </w:r>
          </w:p>
        </w:tc>
        <w:tc>
          <w:tcPr>
            <w:tcW w:w="2500" w:type="dxa"/>
            <w:vAlign w:val="bottom"/>
            <w:tcBorders>
              <w:right w:val="single" w:sz="8" w:color="808080"/>
            </w:tcBorders>
          </w:tcPr>
          <w:p>
            <w:pPr>
              <w:jc w:val="center"/>
              <w:spacing w:after="0"/>
              <w:rPr>
                <w:sz w:val="20"/>
                <w:szCs w:val="20"/>
                <w:color w:val="auto"/>
              </w:rPr>
            </w:pPr>
            <w:r>
              <w:rPr>
                <w:rFonts w:ascii="Arial" w:cs="Arial" w:eastAsia="Arial" w:hAnsi="Arial"/>
                <w:sz w:val="22"/>
                <w:szCs w:val="22"/>
                <w:color w:val="auto"/>
                <w:w w:val="97"/>
              </w:rPr>
              <w:t>Moderate: 8 units</w:t>
            </w:r>
          </w:p>
        </w:tc>
        <w:tc>
          <w:tcPr>
            <w:tcW w:w="2520" w:type="dxa"/>
            <w:vAlign w:val="bottom"/>
            <w:tcBorders>
              <w:right w:val="single" w:sz="8" w:color="2C2C2C"/>
            </w:tcBorders>
            <w:vMerge w:val="restart"/>
          </w:tcPr>
          <w:p>
            <w:pPr>
              <w:jc w:val="center"/>
              <w:spacing w:after="0"/>
              <w:rPr>
                <w:sz w:val="20"/>
                <w:szCs w:val="20"/>
                <w:color w:val="auto"/>
              </w:rPr>
            </w:pPr>
            <w:r>
              <w:rPr>
                <w:rFonts w:ascii="Arial" w:cs="Arial" w:eastAsia="Arial" w:hAnsi="Arial"/>
                <w:sz w:val="22"/>
                <w:szCs w:val="22"/>
                <w:color w:val="auto"/>
                <w:w w:val="98"/>
              </w:rPr>
              <w:t>Moderate: 16 units</w:t>
            </w:r>
          </w:p>
        </w:tc>
        <w:tc>
          <w:tcPr>
            <w:tcW w:w="0" w:type="dxa"/>
            <w:vAlign w:val="bottom"/>
          </w:tcPr>
          <w:p>
            <w:pPr>
              <w:spacing w:after="0"/>
              <w:rPr>
                <w:sz w:val="1"/>
                <w:szCs w:val="1"/>
                <w:color w:val="auto"/>
              </w:rPr>
            </w:pPr>
          </w:p>
        </w:tc>
      </w:tr>
      <w:tr>
        <w:trPr>
          <w:trHeight w:val="159"/>
        </w:trPr>
        <w:tc>
          <w:tcPr>
            <w:tcW w:w="2520" w:type="dxa"/>
            <w:vAlign w:val="bottom"/>
            <w:tcBorders>
              <w:left w:val="single" w:sz="8" w:color="2C2C2C"/>
              <w:right w:val="single" w:sz="8" w:color="808080"/>
            </w:tcBorders>
            <w:vMerge w:val="continue"/>
          </w:tcPr>
          <w:p>
            <w:pPr>
              <w:spacing w:after="0"/>
              <w:rPr>
                <w:sz w:val="13"/>
                <w:szCs w:val="13"/>
                <w:color w:val="auto"/>
              </w:rPr>
            </w:pP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Median: 9 units</w:t>
            </w: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Median: 9 units</w:t>
            </w:r>
          </w:p>
        </w:tc>
        <w:tc>
          <w:tcPr>
            <w:tcW w:w="2520" w:type="dxa"/>
            <w:vAlign w:val="bottom"/>
            <w:tcBorders>
              <w:right w:val="single" w:sz="8" w:color="2C2C2C"/>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32"/>
        </w:trPr>
        <w:tc>
          <w:tcPr>
            <w:tcW w:w="2520" w:type="dxa"/>
            <w:vAlign w:val="bottom"/>
            <w:tcBorders>
              <w:left w:val="single" w:sz="8" w:color="2C2C2C"/>
              <w:right w:val="single" w:sz="8" w:color="808080"/>
            </w:tcBorders>
          </w:tcPr>
          <w:p>
            <w:pPr>
              <w:spacing w:after="0"/>
              <w:rPr>
                <w:sz w:val="11"/>
                <w:szCs w:val="11"/>
                <w:color w:val="auto"/>
              </w:rPr>
            </w:pPr>
          </w:p>
        </w:tc>
        <w:tc>
          <w:tcPr>
            <w:tcW w:w="2500" w:type="dxa"/>
            <w:vAlign w:val="bottom"/>
            <w:tcBorders>
              <w:right w:val="single" w:sz="8" w:color="808080"/>
            </w:tcBorders>
            <w:vMerge w:val="continue"/>
          </w:tcPr>
          <w:p>
            <w:pPr>
              <w:spacing w:after="0"/>
              <w:rPr>
                <w:sz w:val="11"/>
                <w:szCs w:val="11"/>
                <w:color w:val="auto"/>
              </w:rPr>
            </w:pPr>
          </w:p>
        </w:tc>
        <w:tc>
          <w:tcPr>
            <w:tcW w:w="2500" w:type="dxa"/>
            <w:vAlign w:val="bottom"/>
            <w:tcBorders>
              <w:right w:val="single" w:sz="8" w:color="808080"/>
            </w:tcBorders>
            <w:vMerge w:val="continue"/>
          </w:tcPr>
          <w:p>
            <w:pPr>
              <w:spacing w:after="0"/>
              <w:rPr>
                <w:sz w:val="11"/>
                <w:szCs w:val="11"/>
                <w:color w:val="auto"/>
              </w:rPr>
            </w:pPr>
          </w:p>
        </w:tc>
        <w:tc>
          <w:tcPr>
            <w:tcW w:w="2520" w:type="dxa"/>
            <w:vAlign w:val="bottom"/>
            <w:tcBorders>
              <w:right w:val="single" w:sz="8" w:color="2C2C2C"/>
            </w:tcBorders>
          </w:tcPr>
          <w:p>
            <w:pPr>
              <w:spacing w:after="0"/>
              <w:rPr>
                <w:sz w:val="11"/>
                <w:szCs w:val="11"/>
                <w:color w:val="auto"/>
              </w:rPr>
            </w:pPr>
          </w:p>
        </w:tc>
        <w:tc>
          <w:tcPr>
            <w:tcW w:w="0" w:type="dxa"/>
            <w:vAlign w:val="bottom"/>
          </w:tcPr>
          <w:p>
            <w:pPr>
              <w:spacing w:after="0"/>
              <w:rPr>
                <w:sz w:val="1"/>
                <w:szCs w:val="1"/>
                <w:color w:val="auto"/>
              </w:rPr>
            </w:pPr>
          </w:p>
        </w:tc>
      </w:tr>
      <w:tr>
        <w:trPr>
          <w:trHeight w:val="112"/>
        </w:trPr>
        <w:tc>
          <w:tcPr>
            <w:tcW w:w="2520" w:type="dxa"/>
            <w:vAlign w:val="bottom"/>
            <w:tcBorders>
              <w:left w:val="single" w:sz="8" w:color="2C2C2C"/>
              <w:bottom w:val="single" w:sz="8" w:color="808080"/>
              <w:right w:val="single" w:sz="8" w:color="808080"/>
            </w:tcBorders>
          </w:tcPr>
          <w:p>
            <w:pPr>
              <w:spacing w:after="0"/>
              <w:rPr>
                <w:sz w:val="9"/>
                <w:szCs w:val="9"/>
                <w:color w:val="auto"/>
              </w:rPr>
            </w:pPr>
          </w:p>
        </w:tc>
        <w:tc>
          <w:tcPr>
            <w:tcW w:w="2500" w:type="dxa"/>
            <w:vAlign w:val="bottom"/>
            <w:tcBorders>
              <w:bottom w:val="single" w:sz="8" w:color="808080"/>
              <w:right w:val="single" w:sz="8" w:color="808080"/>
            </w:tcBorders>
          </w:tcPr>
          <w:p>
            <w:pPr>
              <w:spacing w:after="0"/>
              <w:rPr>
                <w:sz w:val="9"/>
                <w:szCs w:val="9"/>
                <w:color w:val="auto"/>
              </w:rPr>
            </w:pPr>
          </w:p>
        </w:tc>
        <w:tc>
          <w:tcPr>
            <w:tcW w:w="2500" w:type="dxa"/>
            <w:vAlign w:val="bottom"/>
            <w:tcBorders>
              <w:bottom w:val="single" w:sz="8" w:color="808080"/>
              <w:right w:val="single" w:sz="8" w:color="808080"/>
            </w:tcBorders>
          </w:tcPr>
          <w:p>
            <w:pPr>
              <w:spacing w:after="0"/>
              <w:rPr>
                <w:sz w:val="9"/>
                <w:szCs w:val="9"/>
                <w:color w:val="auto"/>
              </w:rPr>
            </w:pPr>
          </w:p>
        </w:tc>
        <w:tc>
          <w:tcPr>
            <w:tcW w:w="2520" w:type="dxa"/>
            <w:vAlign w:val="bottom"/>
            <w:tcBorders>
              <w:bottom w:val="single" w:sz="8" w:color="808080"/>
              <w:right w:val="single" w:sz="8" w:color="2C2C2C"/>
            </w:tcBorders>
          </w:tcPr>
          <w:p>
            <w:pPr>
              <w:spacing w:after="0"/>
              <w:rPr>
                <w:sz w:val="9"/>
                <w:szCs w:val="9"/>
                <w:color w:val="auto"/>
              </w:rPr>
            </w:pPr>
          </w:p>
        </w:tc>
        <w:tc>
          <w:tcPr>
            <w:tcW w:w="0" w:type="dxa"/>
            <w:vAlign w:val="bottom"/>
          </w:tcPr>
          <w:p>
            <w:pPr>
              <w:spacing w:after="0"/>
              <w:rPr>
                <w:sz w:val="1"/>
                <w:szCs w:val="1"/>
                <w:color w:val="auto"/>
              </w:rPr>
            </w:pPr>
          </w:p>
        </w:tc>
      </w:tr>
      <w:tr>
        <w:trPr>
          <w:trHeight w:val="333"/>
        </w:trPr>
        <w:tc>
          <w:tcPr>
            <w:tcW w:w="2520" w:type="dxa"/>
            <w:vAlign w:val="bottom"/>
            <w:tcBorders>
              <w:left w:val="single" w:sz="8" w:color="2C2C2C"/>
              <w:right w:val="single" w:sz="8" w:color="808080"/>
            </w:tcBorders>
            <w:vMerge w:val="restart"/>
          </w:tcPr>
          <w:p>
            <w:pPr>
              <w:ind w:left="20"/>
              <w:spacing w:after="0"/>
              <w:rPr>
                <w:sz w:val="20"/>
                <w:szCs w:val="20"/>
                <w:color w:val="auto"/>
              </w:rPr>
            </w:pPr>
            <w:r>
              <w:rPr>
                <w:rFonts w:ascii="Arial" w:cs="Arial" w:eastAsia="Arial" w:hAnsi="Arial"/>
                <w:sz w:val="22"/>
                <w:szCs w:val="22"/>
                <w:color w:val="auto"/>
              </w:rPr>
              <w:t>Serenity</w:t>
            </w:r>
          </w:p>
        </w:tc>
        <w:tc>
          <w:tcPr>
            <w:tcW w:w="2500" w:type="dxa"/>
            <w:vAlign w:val="bottom"/>
            <w:tcBorders>
              <w:right w:val="single" w:sz="8" w:color="808080"/>
            </w:tcBorders>
          </w:tcPr>
          <w:p>
            <w:pPr>
              <w:jc w:val="center"/>
              <w:spacing w:after="0"/>
              <w:rPr>
                <w:sz w:val="20"/>
                <w:szCs w:val="20"/>
                <w:color w:val="auto"/>
              </w:rPr>
            </w:pPr>
            <w:r>
              <w:rPr>
                <w:rFonts w:ascii="Arial" w:cs="Arial" w:eastAsia="Arial" w:hAnsi="Arial"/>
                <w:sz w:val="22"/>
                <w:szCs w:val="22"/>
                <w:color w:val="auto"/>
                <w:w w:val="97"/>
              </w:rPr>
              <w:t>Moderate: 13 units</w:t>
            </w:r>
          </w:p>
        </w:tc>
        <w:tc>
          <w:tcPr>
            <w:tcW w:w="2500" w:type="dxa"/>
            <w:vAlign w:val="bottom"/>
            <w:tcBorders>
              <w:right w:val="single" w:sz="8" w:color="808080"/>
            </w:tcBorders>
          </w:tcPr>
          <w:p>
            <w:pPr>
              <w:jc w:val="center"/>
              <w:spacing w:after="0"/>
              <w:rPr>
                <w:sz w:val="20"/>
                <w:szCs w:val="20"/>
                <w:color w:val="auto"/>
              </w:rPr>
            </w:pPr>
            <w:r>
              <w:rPr>
                <w:rFonts w:ascii="Arial" w:cs="Arial" w:eastAsia="Arial" w:hAnsi="Arial"/>
                <w:sz w:val="22"/>
                <w:szCs w:val="22"/>
                <w:color w:val="auto"/>
                <w:w w:val="97"/>
              </w:rPr>
              <w:t>Moderate: 4 units</w:t>
            </w:r>
          </w:p>
        </w:tc>
        <w:tc>
          <w:tcPr>
            <w:tcW w:w="2520" w:type="dxa"/>
            <w:vAlign w:val="bottom"/>
            <w:tcBorders>
              <w:right w:val="single" w:sz="8" w:color="2C2C2C"/>
            </w:tcBorders>
            <w:vMerge w:val="restart"/>
          </w:tcPr>
          <w:p>
            <w:pPr>
              <w:jc w:val="center"/>
              <w:spacing w:after="0"/>
              <w:rPr>
                <w:sz w:val="20"/>
                <w:szCs w:val="20"/>
                <w:color w:val="auto"/>
              </w:rPr>
            </w:pPr>
            <w:r>
              <w:rPr>
                <w:rFonts w:ascii="Arial" w:cs="Arial" w:eastAsia="Arial" w:hAnsi="Arial"/>
                <w:sz w:val="22"/>
                <w:szCs w:val="22"/>
                <w:color w:val="auto"/>
                <w:w w:val="98"/>
              </w:rPr>
              <w:t>Moderate: 9 units</w:t>
            </w:r>
          </w:p>
        </w:tc>
        <w:tc>
          <w:tcPr>
            <w:tcW w:w="0" w:type="dxa"/>
            <w:vAlign w:val="bottom"/>
          </w:tcPr>
          <w:p>
            <w:pPr>
              <w:spacing w:after="0"/>
              <w:rPr>
                <w:sz w:val="1"/>
                <w:szCs w:val="1"/>
                <w:color w:val="auto"/>
              </w:rPr>
            </w:pPr>
          </w:p>
        </w:tc>
      </w:tr>
      <w:tr>
        <w:trPr>
          <w:trHeight w:val="159"/>
        </w:trPr>
        <w:tc>
          <w:tcPr>
            <w:tcW w:w="2520" w:type="dxa"/>
            <w:vAlign w:val="bottom"/>
            <w:tcBorders>
              <w:left w:val="single" w:sz="8" w:color="2C2C2C"/>
              <w:right w:val="single" w:sz="8" w:color="808080"/>
            </w:tcBorders>
            <w:vMerge w:val="continue"/>
          </w:tcPr>
          <w:p>
            <w:pPr>
              <w:spacing w:after="0"/>
              <w:rPr>
                <w:sz w:val="13"/>
                <w:szCs w:val="13"/>
                <w:color w:val="auto"/>
              </w:rPr>
            </w:pP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Median: 5 units</w:t>
            </w:r>
          </w:p>
        </w:tc>
        <w:tc>
          <w:tcPr>
            <w:tcW w:w="2500" w:type="dxa"/>
            <w:vAlign w:val="bottom"/>
            <w:tcBorders>
              <w:right w:val="single" w:sz="8" w:color="808080"/>
            </w:tcBorders>
            <w:vMerge w:val="restart"/>
          </w:tcPr>
          <w:p>
            <w:pPr>
              <w:jc w:val="center"/>
              <w:spacing w:after="0"/>
              <w:rPr>
                <w:sz w:val="20"/>
                <w:szCs w:val="20"/>
                <w:color w:val="auto"/>
              </w:rPr>
            </w:pPr>
            <w:r>
              <w:rPr>
                <w:rFonts w:ascii="Arial" w:cs="Arial" w:eastAsia="Arial" w:hAnsi="Arial"/>
                <w:sz w:val="22"/>
                <w:szCs w:val="22"/>
                <w:color w:val="auto"/>
                <w:w w:val="97"/>
              </w:rPr>
              <w:t>Median: 5 units</w:t>
            </w:r>
          </w:p>
        </w:tc>
        <w:tc>
          <w:tcPr>
            <w:tcW w:w="2520" w:type="dxa"/>
            <w:vAlign w:val="bottom"/>
            <w:tcBorders>
              <w:right w:val="single" w:sz="8" w:color="2C2C2C"/>
            </w:tcBorders>
            <w:vMerge w:val="continue"/>
          </w:tcPr>
          <w:p>
            <w:pPr>
              <w:spacing w:after="0"/>
              <w:rPr>
                <w:sz w:val="13"/>
                <w:szCs w:val="13"/>
                <w:color w:val="auto"/>
              </w:rPr>
            </w:pPr>
          </w:p>
        </w:tc>
        <w:tc>
          <w:tcPr>
            <w:tcW w:w="0" w:type="dxa"/>
            <w:vAlign w:val="bottom"/>
          </w:tcPr>
          <w:p>
            <w:pPr>
              <w:spacing w:after="0"/>
              <w:rPr>
                <w:sz w:val="1"/>
                <w:szCs w:val="1"/>
                <w:color w:val="auto"/>
              </w:rPr>
            </w:pPr>
          </w:p>
        </w:tc>
      </w:tr>
      <w:tr>
        <w:trPr>
          <w:trHeight w:val="132"/>
        </w:trPr>
        <w:tc>
          <w:tcPr>
            <w:tcW w:w="2520" w:type="dxa"/>
            <w:vAlign w:val="bottom"/>
            <w:tcBorders>
              <w:left w:val="single" w:sz="8" w:color="2C2C2C"/>
              <w:right w:val="single" w:sz="8" w:color="808080"/>
            </w:tcBorders>
          </w:tcPr>
          <w:p>
            <w:pPr>
              <w:spacing w:after="0"/>
              <w:rPr>
                <w:sz w:val="11"/>
                <w:szCs w:val="11"/>
                <w:color w:val="auto"/>
              </w:rPr>
            </w:pPr>
          </w:p>
        </w:tc>
        <w:tc>
          <w:tcPr>
            <w:tcW w:w="2500" w:type="dxa"/>
            <w:vAlign w:val="bottom"/>
            <w:tcBorders>
              <w:right w:val="single" w:sz="8" w:color="808080"/>
            </w:tcBorders>
            <w:vMerge w:val="continue"/>
          </w:tcPr>
          <w:p>
            <w:pPr>
              <w:spacing w:after="0"/>
              <w:rPr>
                <w:sz w:val="11"/>
                <w:szCs w:val="11"/>
                <w:color w:val="auto"/>
              </w:rPr>
            </w:pPr>
          </w:p>
        </w:tc>
        <w:tc>
          <w:tcPr>
            <w:tcW w:w="2500" w:type="dxa"/>
            <w:vAlign w:val="bottom"/>
            <w:tcBorders>
              <w:right w:val="single" w:sz="8" w:color="808080"/>
            </w:tcBorders>
            <w:vMerge w:val="continue"/>
          </w:tcPr>
          <w:p>
            <w:pPr>
              <w:spacing w:after="0"/>
              <w:rPr>
                <w:sz w:val="11"/>
                <w:szCs w:val="11"/>
                <w:color w:val="auto"/>
              </w:rPr>
            </w:pPr>
          </w:p>
        </w:tc>
        <w:tc>
          <w:tcPr>
            <w:tcW w:w="2520" w:type="dxa"/>
            <w:vAlign w:val="bottom"/>
            <w:tcBorders>
              <w:right w:val="single" w:sz="8" w:color="2C2C2C"/>
            </w:tcBorders>
          </w:tcPr>
          <w:p>
            <w:pPr>
              <w:spacing w:after="0"/>
              <w:rPr>
                <w:sz w:val="11"/>
                <w:szCs w:val="11"/>
                <w:color w:val="auto"/>
              </w:rPr>
            </w:pPr>
          </w:p>
        </w:tc>
        <w:tc>
          <w:tcPr>
            <w:tcW w:w="0" w:type="dxa"/>
            <w:vAlign w:val="bottom"/>
          </w:tcPr>
          <w:p>
            <w:pPr>
              <w:spacing w:after="0"/>
              <w:rPr>
                <w:sz w:val="1"/>
                <w:szCs w:val="1"/>
                <w:color w:val="auto"/>
              </w:rPr>
            </w:pPr>
          </w:p>
        </w:tc>
      </w:tr>
      <w:tr>
        <w:trPr>
          <w:trHeight w:val="112"/>
        </w:trPr>
        <w:tc>
          <w:tcPr>
            <w:tcW w:w="2520" w:type="dxa"/>
            <w:vAlign w:val="bottom"/>
            <w:tcBorders>
              <w:left w:val="single" w:sz="8" w:color="2C2C2C"/>
              <w:bottom w:val="single" w:sz="8" w:color="2C2C2C"/>
              <w:right w:val="single" w:sz="8" w:color="808080"/>
            </w:tcBorders>
          </w:tcPr>
          <w:p>
            <w:pPr>
              <w:spacing w:after="0"/>
              <w:rPr>
                <w:sz w:val="9"/>
                <w:szCs w:val="9"/>
                <w:color w:val="auto"/>
              </w:rPr>
            </w:pPr>
          </w:p>
        </w:tc>
        <w:tc>
          <w:tcPr>
            <w:tcW w:w="2500" w:type="dxa"/>
            <w:vAlign w:val="bottom"/>
            <w:tcBorders>
              <w:bottom w:val="single" w:sz="8" w:color="2C2C2C"/>
              <w:right w:val="single" w:sz="8" w:color="808080"/>
            </w:tcBorders>
          </w:tcPr>
          <w:p>
            <w:pPr>
              <w:spacing w:after="0"/>
              <w:rPr>
                <w:sz w:val="9"/>
                <w:szCs w:val="9"/>
                <w:color w:val="auto"/>
              </w:rPr>
            </w:pPr>
          </w:p>
        </w:tc>
        <w:tc>
          <w:tcPr>
            <w:tcW w:w="2500" w:type="dxa"/>
            <w:vAlign w:val="bottom"/>
            <w:tcBorders>
              <w:bottom w:val="single" w:sz="8" w:color="2C2C2C"/>
              <w:right w:val="single" w:sz="8" w:color="808080"/>
            </w:tcBorders>
          </w:tcPr>
          <w:p>
            <w:pPr>
              <w:spacing w:after="0"/>
              <w:rPr>
                <w:sz w:val="9"/>
                <w:szCs w:val="9"/>
                <w:color w:val="auto"/>
              </w:rPr>
            </w:pPr>
          </w:p>
        </w:tc>
        <w:tc>
          <w:tcPr>
            <w:tcW w:w="2520" w:type="dxa"/>
            <w:vAlign w:val="bottom"/>
            <w:tcBorders>
              <w:bottom w:val="single" w:sz="8" w:color="2C2C2C"/>
              <w:right w:val="single" w:sz="8" w:color="2C2C2C"/>
            </w:tcBorders>
          </w:tcPr>
          <w:p>
            <w:pPr>
              <w:spacing w:after="0"/>
              <w:rPr>
                <w:sz w:val="9"/>
                <w:szCs w:val="9"/>
                <w:color w:val="auto"/>
              </w:rPr>
            </w:pPr>
          </w:p>
        </w:tc>
        <w:tc>
          <w:tcPr>
            <w:tcW w:w="0" w:type="dxa"/>
            <w:vAlign w:val="bottom"/>
          </w:tcPr>
          <w:p>
            <w:pPr>
              <w:spacing w:after="0"/>
              <w:rPr>
                <w:sz w:val="1"/>
                <w:szCs w:val="1"/>
                <w:color w:val="auto"/>
              </w:rPr>
            </w:pPr>
          </w:p>
        </w:tc>
      </w:tr>
    </w:tbl>
    <w:p>
      <w:pPr>
        <w:spacing w:after="0" w:line="281" w:lineRule="exact"/>
        <w:rPr>
          <w:sz w:val="20"/>
          <w:szCs w:val="20"/>
          <w:color w:val="auto"/>
        </w:rPr>
      </w:pPr>
    </w:p>
    <w:p>
      <w:pPr>
        <w:spacing w:after="0" w:line="291" w:lineRule="auto"/>
        <w:rPr>
          <w:sz w:val="20"/>
          <w:szCs w:val="20"/>
          <w:color w:val="auto"/>
        </w:rPr>
      </w:pPr>
      <w:r>
        <w:rPr>
          <w:rFonts w:ascii="Arial" w:cs="Arial" w:eastAsia="Arial" w:hAnsi="Arial"/>
          <w:sz w:val="22"/>
          <w:szCs w:val="22"/>
          <w:color w:val="auto"/>
        </w:rPr>
        <w:t>The applicant is requesting an alternative means of compliance for up to 25 moderate-income units, which would then be sold at market-rate. The approved median-income units, which are a deeper level of affordability compared to moderate-income units, would remain the same.</w:t>
      </w:r>
    </w:p>
    <w:p>
      <w:pPr>
        <w:spacing w:after="0" w:line="232" w:lineRule="exact"/>
        <w:rPr>
          <w:sz w:val="20"/>
          <w:szCs w:val="20"/>
          <w:color w:val="auto"/>
        </w:rPr>
      </w:pPr>
    </w:p>
    <w:p>
      <w:pPr>
        <w:ind w:right="120"/>
        <w:spacing w:after="0" w:line="280" w:lineRule="auto"/>
        <w:rPr>
          <w:sz w:val="20"/>
          <w:szCs w:val="20"/>
          <w:color w:val="auto"/>
        </w:rPr>
      </w:pPr>
      <w:r>
        <w:rPr>
          <w:rFonts w:ascii="Arial" w:cs="Arial" w:eastAsia="Arial" w:hAnsi="Arial"/>
          <w:sz w:val="22"/>
          <w:szCs w:val="22"/>
          <w:color w:val="auto"/>
        </w:rPr>
        <w:t>The alternative compliance method would be implemented through a future Affordable Housing Agreement for Aura and an amendment to the existing Affordable Housing Agreement for Serenity, both of which will be approved by the City Council later this year (the Commission does not review and approve Affordable Housing Agreements). As previously stated, the overall unit count would remain the same, therefore the requested amendments would not result in any physical changes to the project or environment that were not otherwise considered in the original project approvals.</w:t>
      </w:r>
    </w:p>
    <w:p>
      <w:pPr>
        <w:spacing w:after="0" w:line="245" w:lineRule="exact"/>
        <w:rPr>
          <w:sz w:val="20"/>
          <w:szCs w:val="20"/>
          <w:color w:val="auto"/>
        </w:rPr>
      </w:pPr>
    </w:p>
    <w:p>
      <w:pPr>
        <w:ind w:right="20"/>
        <w:spacing w:after="0" w:line="285" w:lineRule="auto"/>
        <w:rPr>
          <w:sz w:val="20"/>
          <w:szCs w:val="20"/>
          <w:color w:val="auto"/>
        </w:rPr>
      </w:pPr>
      <w:r>
        <w:rPr>
          <w:rFonts w:ascii="Arial" w:cs="Arial" w:eastAsia="Arial" w:hAnsi="Arial"/>
          <w:sz w:val="22"/>
          <w:szCs w:val="22"/>
          <w:color w:val="auto"/>
        </w:rPr>
        <w:t>The likely Alternative Compliance Method is that the applicant will provide an in-lieu fee for each required affordable unit they do not provide onsite. The in-lieu fee will be calculated as part of the Affordable Housing Agreement and is required to be economically equivalent compared to providing the units on site.</w:t>
      </w:r>
    </w:p>
    <w:p>
      <w:pPr>
        <w:spacing w:after="0" w:line="238"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PUBLIC BENEFIT</w:t>
      </w:r>
    </w:p>
    <w:p>
      <w:pPr>
        <w:spacing w:after="0" w:line="323" w:lineRule="exact"/>
        <w:rPr>
          <w:sz w:val="20"/>
          <w:szCs w:val="20"/>
          <w:color w:val="auto"/>
        </w:rPr>
      </w:pPr>
    </w:p>
    <w:p>
      <w:pPr>
        <w:ind w:right="320"/>
        <w:spacing w:after="0" w:line="298" w:lineRule="auto"/>
        <w:rPr>
          <w:sz w:val="20"/>
          <w:szCs w:val="20"/>
          <w:color w:val="auto"/>
        </w:rPr>
      </w:pPr>
      <w:r>
        <w:rPr>
          <w:rFonts w:ascii="Arial" w:cs="Arial" w:eastAsia="Arial" w:hAnsi="Arial"/>
          <w:sz w:val="21"/>
          <w:szCs w:val="21"/>
          <w:color w:val="auto"/>
        </w:rPr>
        <w:t>Producing affordable units in the extremely low, very low, and low-income categories remains challenging due to the high costs of land, construction, and labor, which often exceed the revenue generated from lower rent and for-sale prices. Consequently, many deeply affordable units require significant subsidy, particularly 100% affordable projects. The City does not have sufficient affordable housing funds to subsidize enough units to meet its RHNA obligations in the lower income categories.</w:t>
      </w:r>
    </w:p>
    <w:p>
      <w:pPr>
        <w:spacing w:after="0" w:line="229" w:lineRule="exact"/>
        <w:rPr>
          <w:sz w:val="20"/>
          <w:szCs w:val="20"/>
          <w:color w:val="auto"/>
        </w:rPr>
      </w:pPr>
    </w:p>
    <w:p>
      <w:pPr>
        <w:spacing w:after="0" w:line="311" w:lineRule="auto"/>
        <w:rPr>
          <w:sz w:val="20"/>
          <w:szCs w:val="20"/>
          <w:color w:val="auto"/>
        </w:rPr>
      </w:pPr>
      <w:r>
        <w:rPr>
          <w:rFonts w:ascii="Arial" w:cs="Arial" w:eastAsia="Arial" w:hAnsi="Arial"/>
          <w:sz w:val="21"/>
          <w:szCs w:val="21"/>
          <w:color w:val="auto"/>
        </w:rPr>
        <w:t>Although satisfying the affordability requirement for the Serenity and Aura Projects through an alternative means of compliance would result in an immediate decrease in approved affordable units, it would provide the opportunity for flexible funding that may be directed toward deeply affordable projects serving</w:t>
      </w:r>
    </w:p>
    <w:p>
      <w:pPr>
        <w:sectPr>
          <w:pgSz w:w="12240" w:h="15840" w:orient="portrait"/>
          <w:cols w:equalWidth="0" w:num="1">
            <w:col w:w="10020"/>
          </w:cols>
          <w:pgMar w:left="1080" w:top="1135" w:right="1140" w:bottom="781" w:gutter="0" w:footer="0" w:header="0"/>
        </w:sectPr>
      </w:pPr>
    </w:p>
    <w:p>
      <w:pPr>
        <w:ind w:right="180"/>
        <w:spacing w:after="0" w:line="290" w:lineRule="auto"/>
        <w:rPr>
          <w:sz w:val="20"/>
          <w:szCs w:val="20"/>
          <w:color w:val="auto"/>
        </w:rPr>
      </w:pPr>
      <w:r>
        <w:rPr>
          <w:rFonts w:ascii="Arial" w:cs="Arial" w:eastAsia="Arial" w:hAnsi="Arial"/>
          <w:sz w:val="22"/>
          <w:szCs w:val="22"/>
          <w:color w:val="auto"/>
        </w:rPr>
        <w:t>lower-income and special needs populations. Existing projects funded by an alternative means of compliance include Chestnut Square, Eden Downtown Apartments, Vineyard 2.0, Avance, and Pacific Avenue Senior Housing Phase 1.</w:t>
      </w:r>
    </w:p>
    <w:p>
      <w:pPr>
        <w:spacing w:after="0" w:line="234" w:lineRule="exact"/>
        <w:rPr>
          <w:sz w:val="20"/>
          <w:szCs w:val="20"/>
          <w:color w:val="auto"/>
        </w:rPr>
      </w:pPr>
    </w:p>
    <w:p>
      <w:pPr>
        <w:ind w:right="80"/>
        <w:spacing w:after="0" w:line="311" w:lineRule="auto"/>
        <w:rPr>
          <w:sz w:val="20"/>
          <w:szCs w:val="20"/>
          <w:color w:val="auto"/>
        </w:rPr>
      </w:pPr>
      <w:r>
        <w:rPr>
          <w:rFonts w:ascii="Arial" w:cs="Arial" w:eastAsia="Arial" w:hAnsi="Arial"/>
          <w:sz w:val="21"/>
          <w:szCs w:val="21"/>
          <w:color w:val="auto"/>
        </w:rPr>
        <w:t>Should the projects satisfy the requirements through alternative compliance, the City could receive funding for deeply affordable projects that might not otherwise get built. Projects that could benefit from these additional funds include Pacific Avenue Senior Housing Phase 2 or the Walnut Street Project.</w:t>
      </w:r>
    </w:p>
    <w:p>
      <w:pPr>
        <w:spacing w:after="0" w:line="213" w:lineRule="exact"/>
        <w:rPr>
          <w:sz w:val="20"/>
          <w:szCs w:val="20"/>
          <w:color w:val="auto"/>
        </w:rPr>
      </w:pPr>
    </w:p>
    <w:p>
      <w:pPr>
        <w:spacing w:after="0"/>
        <w:rPr>
          <w:sz w:val="20"/>
          <w:szCs w:val="20"/>
          <w:color w:val="auto"/>
        </w:rPr>
      </w:pPr>
      <w:r>
        <w:rPr>
          <w:rFonts w:ascii="Arial" w:cs="Arial" w:eastAsia="Arial" w:hAnsi="Arial"/>
          <w:sz w:val="22"/>
          <w:szCs w:val="22"/>
          <w:u w:val="single" w:color="auto"/>
          <w:color w:val="auto"/>
        </w:rPr>
        <w:t>ENVIRONMENTAL DETERMINATION</w:t>
      </w:r>
    </w:p>
    <w:p>
      <w:pPr>
        <w:spacing w:after="0" w:line="323" w:lineRule="exact"/>
        <w:rPr>
          <w:sz w:val="20"/>
          <w:szCs w:val="20"/>
          <w:color w:val="auto"/>
        </w:rPr>
      </w:pPr>
    </w:p>
    <w:p>
      <w:pPr>
        <w:spacing w:after="0" w:line="285" w:lineRule="auto"/>
        <w:rPr>
          <w:sz w:val="20"/>
          <w:szCs w:val="20"/>
          <w:color w:val="auto"/>
        </w:rPr>
      </w:pPr>
      <w:r>
        <w:rPr>
          <w:rFonts w:ascii="Arial" w:cs="Arial" w:eastAsia="Arial" w:hAnsi="Arial"/>
          <w:sz w:val="22"/>
          <w:szCs w:val="22"/>
          <w:color w:val="auto"/>
        </w:rPr>
        <w:t>The Project is a procedural action that does not involve a direct physical change in the environment or a reasonably foreseeable indirect physical change in the environment; therefore, it does not meet the criteria for a "project" as defined by the California Environmental Quality Act (CEQA) Guidelines Section 15378. No environmental review is required.</w:t>
      </w:r>
    </w:p>
    <w:p>
      <w:pPr>
        <w:spacing w:after="0" w:line="164" w:lineRule="exact"/>
        <w:rPr>
          <w:sz w:val="20"/>
          <w:szCs w:val="20"/>
          <w:color w:val="auto"/>
        </w:rPr>
      </w:pPr>
    </w:p>
    <w:p>
      <w:pPr>
        <w:spacing w:after="0"/>
        <w:rPr>
          <w:sz w:val="20"/>
          <w:szCs w:val="20"/>
          <w:color w:val="auto"/>
        </w:rPr>
      </w:pPr>
      <w:r>
        <w:rPr>
          <w:rFonts w:ascii="Arial" w:cs="Arial" w:eastAsia="Arial" w:hAnsi="Arial"/>
          <w:sz w:val="22"/>
          <w:szCs w:val="22"/>
          <w:b w:val="1"/>
          <w:bCs w:val="1"/>
          <w:u w:val="single" w:color="auto"/>
          <w:color w:val="auto"/>
        </w:rPr>
        <w:t>ATTACHMENTS</w:t>
      </w:r>
    </w:p>
    <w:p>
      <w:pPr>
        <w:spacing w:after="0" w:line="325" w:lineRule="exact"/>
        <w:rPr>
          <w:sz w:val="20"/>
          <w:szCs w:val="20"/>
          <w:color w:val="auto"/>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4">
        <w:r>
          <w:rPr>
            <w:rFonts w:ascii="Arial" w:cs="Arial" w:eastAsia="Arial" w:hAnsi="Arial"/>
            <w:sz w:val="24"/>
            <w:szCs w:val="24"/>
            <w:color w:val="0000EE"/>
          </w:rPr>
          <w:t>Location Map</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5">
        <w:r>
          <w:rPr>
            <w:rFonts w:ascii="Arial" w:cs="Arial" w:eastAsia="Arial" w:hAnsi="Arial"/>
            <w:sz w:val="24"/>
            <w:szCs w:val="24"/>
            <w:color w:val="0000EE"/>
          </w:rPr>
          <w:t>Resolution</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6">
        <w:r>
          <w:rPr>
            <w:rFonts w:ascii="Arial" w:cs="Arial" w:eastAsia="Arial" w:hAnsi="Arial"/>
            <w:sz w:val="24"/>
            <w:szCs w:val="24"/>
            <w:color w:val="0000EE"/>
          </w:rPr>
          <w:t>Exhibit A - Planning Commission Resolution 11-24</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7">
        <w:r>
          <w:rPr>
            <w:rFonts w:ascii="Arial" w:cs="Arial" w:eastAsia="Arial" w:hAnsi="Arial"/>
            <w:sz w:val="24"/>
            <w:szCs w:val="24"/>
            <w:color w:val="0000EE"/>
          </w:rPr>
          <w:t>Exhibit B - City Council Resolution 2024-119</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8">
        <w:r>
          <w:rPr>
            <w:rFonts w:ascii="Arial" w:cs="Arial" w:eastAsia="Arial" w:hAnsi="Arial"/>
            <w:sz w:val="24"/>
            <w:szCs w:val="24"/>
            <w:color w:val="0000EE"/>
          </w:rPr>
          <w:t>Exhibit C - Conditions of Approval</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19">
        <w:r>
          <w:rPr>
            <w:rFonts w:ascii="Arial" w:cs="Arial" w:eastAsia="Arial" w:hAnsi="Arial"/>
            <w:sz w:val="24"/>
            <w:szCs w:val="24"/>
            <w:color w:val="0000EE"/>
          </w:rPr>
          <w:t>Resolution</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20">
        <w:r>
          <w:rPr>
            <w:rFonts w:ascii="Arial" w:cs="Arial" w:eastAsia="Arial" w:hAnsi="Arial"/>
            <w:sz w:val="24"/>
            <w:szCs w:val="24"/>
            <w:color w:val="0000EE"/>
          </w:rPr>
          <w:t>Exhibit A - Planning Commission Resolution 15-22</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21">
        <w:r>
          <w:rPr>
            <w:rFonts w:ascii="Arial" w:cs="Arial" w:eastAsia="Arial" w:hAnsi="Arial"/>
            <w:sz w:val="24"/>
            <w:szCs w:val="24"/>
            <w:color w:val="0000EE"/>
          </w:rPr>
          <w:t>Exhibit B - City Council Resolution 2022-137</w:t>
        </w:r>
      </w:hyperlink>
    </w:p>
    <w:p>
      <w:pPr>
        <w:spacing w:after="0" w:line="48" w:lineRule="exact"/>
        <w:rPr>
          <w:rFonts w:ascii="Arial" w:cs="Arial" w:eastAsia="Arial" w:hAnsi="Arial"/>
          <w:sz w:val="24"/>
          <w:szCs w:val="24"/>
          <w:color w:val="0000EE"/>
        </w:rPr>
      </w:pPr>
    </w:p>
    <w:p>
      <w:pPr>
        <w:ind w:left="260" w:hanging="260"/>
        <w:spacing w:after="0"/>
        <w:tabs>
          <w:tab w:leader="none" w:pos="260" w:val="left"/>
        </w:tabs>
        <w:numPr>
          <w:ilvl w:val="0"/>
          <w:numId w:val="2"/>
        </w:numPr>
        <w:rPr>
          <w:rFonts w:ascii="Arial" w:cs="Arial" w:eastAsia="Arial" w:hAnsi="Arial"/>
          <w:sz w:val="24"/>
          <w:szCs w:val="24"/>
          <w:color w:val="0000EE"/>
        </w:rPr>
      </w:pPr>
      <w:hyperlink r:id="rId22">
        <w:r>
          <w:rPr>
            <w:rFonts w:ascii="Arial" w:cs="Arial" w:eastAsia="Arial" w:hAnsi="Arial"/>
            <w:sz w:val="24"/>
            <w:szCs w:val="24"/>
            <w:color w:val="0000EE"/>
          </w:rPr>
          <w:t>Exhibit C - Conditions of Approval</w:t>
        </w:r>
      </w:hyperlink>
    </w:p>
    <w:p>
      <w:pPr>
        <w:spacing w:after="0" w:line="312" w:lineRule="exact"/>
        <w:rPr>
          <w:rFonts w:ascii="Arial" w:cs="Arial" w:eastAsia="Arial" w:hAnsi="Arial"/>
          <w:sz w:val="24"/>
          <w:szCs w:val="24"/>
          <w:color w:val="0000EE"/>
        </w:rPr>
      </w:pPr>
    </w:p>
    <w:p>
      <w:pPr>
        <w:ind w:left="20"/>
        <w:spacing w:after="0"/>
        <w:rPr>
          <w:sz w:val="20"/>
          <w:szCs w:val="20"/>
          <w:color w:val="auto"/>
        </w:rPr>
      </w:pPr>
      <w:r>
        <w:rPr>
          <w:rFonts w:ascii="Arial" w:cs="Arial" w:eastAsia="Arial" w:hAnsi="Arial"/>
          <w:sz w:val="22"/>
          <w:szCs w:val="22"/>
          <w:color w:val="auto"/>
        </w:rPr>
        <w:t>Prepared by: Emily LaDue</w:t>
      </w:r>
    </w:p>
    <w:p>
      <w:pPr>
        <w:spacing w:after="0" w:line="27" w:lineRule="exact"/>
        <w:rPr>
          <w:rFonts w:ascii="Arial" w:cs="Arial" w:eastAsia="Arial" w:hAnsi="Arial"/>
          <w:sz w:val="24"/>
          <w:szCs w:val="24"/>
          <w:color w:val="0000EE"/>
        </w:rPr>
      </w:pPr>
    </w:p>
    <w:p>
      <w:pPr>
        <w:ind w:left="1340"/>
        <w:spacing w:after="0"/>
        <w:rPr>
          <w:sz w:val="20"/>
          <w:szCs w:val="20"/>
          <w:color w:val="auto"/>
        </w:rPr>
      </w:pPr>
      <w:r>
        <w:rPr>
          <w:rFonts w:ascii="Arial" w:cs="Arial" w:eastAsia="Arial" w:hAnsi="Arial"/>
          <w:sz w:val="22"/>
          <w:szCs w:val="22"/>
          <w:color w:val="auto"/>
        </w:rPr>
        <w:t>Assistant Planner</w:t>
      </w:r>
    </w:p>
    <w:sectPr>
      <w:pgSz w:w="12240" w:h="15840" w:orient="portrait"/>
      <w:cols w:equalWidth="0" w:num="1">
        <w:col w:w="9900"/>
      </w:cols>
      <w:pgMar w:left="1080" w:top="825" w:right="1260" w:bottom="1440"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5B" w:usb2="00000009" w:usb3="00000000" w:csb0="400001FF" w:csb1="FFFF0000"/>
  </w:font>
</w:fonts>
</file>

<file path=word/numbering.xml><?xml version="1.0" encoding="utf-8"?>
<w:numbering xmlns:w="http://schemas.openxmlformats.org/wordprocessingml/2006/main">
  <w:abstractNum w:abstractNumId="0">
    <w:nsid w:val="6952"/>
    <w:multiLevelType w:val="hybridMultilevel"/>
    <w:lvl w:ilvl="0">
      <w:lvlJc w:val="left"/>
      <w:lvlText w:val="%1."/>
      <w:numFmt w:val="decimal"/>
      <w:start w:val="1"/>
    </w:lvl>
  </w:abstractNum>
  <w:abstractNum w:abstractNumId="1">
    <w:nsid w:val="5F90"/>
    <w:multiLevelType w:val="hybridMultilevel"/>
    <w:lvl w:ilvl="0">
      <w:lvlJc w:val="left"/>
      <w:lvlText w:val="%1."/>
      <w:numFmt w:val="decimal"/>
      <w:start w:val="1"/>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webSettings" Target="webSettings.xml"/><Relationship Id="rId11" Type="http://schemas.openxmlformats.org/officeDocument/2006/relationships/numbering" Target="numbering.xml"/><Relationship Id="rId12" Type="http://schemas.openxmlformats.org/officeDocument/2006/relationships/image" Target="media/image1.jpeg"/><Relationship Id="rId13" Type="http://schemas.openxmlformats.org/officeDocument/2006/relationships/image" Target="media/image2.png"/><Relationship Id="rId14" Type="http://schemas.openxmlformats.org/officeDocument/2006/relationships/hyperlink" Target="https://livermore.granicus.com/services/legistar/download/pdf/4077844/1._Location_Map.pdf" TargetMode="External"/><Relationship Id="rId15" Type="http://schemas.openxmlformats.org/officeDocument/2006/relationships/hyperlink" Target="https://livermore.granicus.com/services/legistar/download/pdf/4077336/2._Resolution__2_.pdf" TargetMode="External"/><Relationship Id="rId16" Type="http://schemas.openxmlformats.org/officeDocument/2006/relationships/hyperlink" Target="https://livermore.granicus.com/services/legistar/download/pdf/4059638/2._Exhibit_A_-_Planning_Commission_Resolution_11-24.pdf" TargetMode="External"/><Relationship Id="rId17" Type="http://schemas.openxmlformats.org/officeDocument/2006/relationships/hyperlink" Target="https://livermore.granicus.com/services/legistar/download/pdf/4060240/RESO_2024-119.pdf" TargetMode="External"/><Relationship Id="rId18" Type="http://schemas.openxmlformats.org/officeDocument/2006/relationships/hyperlink" Target="https://livermore.granicus.com/services/legistar/download/pdf/4071159/5._Exhibit_C_-_Conditions_of_Approval.pdf" TargetMode="External"/><Relationship Id="rId19" Type="http://schemas.openxmlformats.org/officeDocument/2006/relationships/hyperlink" Target="https://livermore.granicus.com/services/legistar/download/pdf/4071162/6._Resolution.pdf" TargetMode="External"/><Relationship Id="rId20" Type="http://schemas.openxmlformats.org/officeDocument/2006/relationships/hyperlink" Target="https://livermore.granicus.com/services/legistar/download/pdf/4059829/6._Exhibit_A_-_Planning_Commission_Resolution_15-22.pdf" TargetMode="External"/><Relationship Id="rId21" Type="http://schemas.openxmlformats.org/officeDocument/2006/relationships/hyperlink" Target="https://livermore.granicus.com/services/legistar/download/pdf/4060239/RESO_2022-137.pdf" TargetMode="External"/><Relationship Id="rId22" Type="http://schemas.openxmlformats.org/officeDocument/2006/relationships/hyperlink" Target="https://livermore.granicus.com/services/legistar/download/pdf/4077868/9._Exhibit_C_-_Conditions_of_Approval.pdf" TargetMode="External"/></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2026-05-01T18:31:12Z</dcterms:created>
  <dcterms:modified xsi:type="dcterms:W3CDTF">2026-05-01T18:31:12Z</dcterms:modified>
</cp:coreProperties>
</file>