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jc w:val="center"/>
        <w:spacing w:after="0"/>
        <w:rPr>
          <w:sz w:val="20"/>
          <w:szCs w:val="20"/>
          <w:color w:val="auto"/>
        </w:rPr>
      </w:pPr>
      <w:r>
        <w:rPr>
          <w:rFonts w:ascii="Times New Roman" w:cs="Times New Roman" w:eastAsia="Times New Roman" w:hAnsi="Times New Roman"/>
          <w:sz w:val="24"/>
          <w:szCs w:val="24"/>
          <w:b w:val="1"/>
          <w:bCs w:val="1"/>
          <w:color w:val="auto"/>
        </w:rPr>
        <w:drawing>
          <wp:anchor simplePos="0" relativeHeight="251657728" behindDoc="1" locked="0" layoutInCell="0" allowOverlap="1">
            <wp:simplePos x="0" y="0"/>
            <wp:positionH relativeFrom="page">
              <wp:posOffset>685800</wp:posOffset>
            </wp:positionH>
            <wp:positionV relativeFrom="page">
              <wp:posOffset>542925</wp:posOffset>
            </wp:positionV>
            <wp:extent cx="6362700" cy="6172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extLst>
                    </a:blip>
                    <a:srcRect/>
                    <a:stretch>
                      <a:fillRect/>
                    </a:stretch>
                  </pic:blipFill>
                  <pic:spPr bwMode="auto">
                    <a:xfrm>
                      <a:off x="0" y="0"/>
                      <a:ext cx="6362700" cy="617220"/>
                    </a:xfrm>
                    <a:prstGeom prst="rect">
                      <a:avLst/>
                    </a:prstGeom>
                    <a:noFill/>
                  </pic:spPr>
                </pic:pic>
              </a:graphicData>
            </a:graphic>
          </wp:anchor>
        </w:drawing>
        <w:t>REPORT TO THE HISTORIC DISTRICT COMMISSION</w:t>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00" w:lineRule="exact"/>
        <w:rPr>
          <w:sz w:val="24"/>
          <w:szCs w:val="24"/>
          <w:color w:val="auto"/>
        </w:rPr>
      </w:pPr>
    </w:p>
    <w:p>
      <w:pPr>
        <w:spacing w:after="0"/>
        <w:tabs>
          <w:tab w:leader="none" w:pos="1480" w:val="left"/>
        </w:tabs>
        <w:rPr>
          <w:sz w:val="20"/>
          <w:szCs w:val="20"/>
          <w:color w:val="auto"/>
        </w:rPr>
      </w:pPr>
      <w:r>
        <w:rPr>
          <w:rFonts w:ascii="Times New Roman" w:cs="Times New Roman" w:eastAsia="Times New Roman" w:hAnsi="Times New Roman"/>
          <w:sz w:val="24"/>
          <w:szCs w:val="24"/>
          <w:b w:val="1"/>
          <w:bCs w:val="1"/>
          <w:color w:val="auto"/>
        </w:rPr>
        <w:t>DATE:</w:t>
      </w:r>
      <w:r>
        <w:rPr>
          <w:sz w:val="20"/>
          <w:szCs w:val="20"/>
          <w:color w:val="auto"/>
        </w:rPr>
        <w:tab/>
      </w:r>
      <w:r>
        <w:rPr>
          <w:rFonts w:ascii="Times New Roman" w:cs="Times New Roman" w:eastAsia="Times New Roman" w:hAnsi="Times New Roman"/>
          <w:sz w:val="24"/>
          <w:szCs w:val="24"/>
          <w:color w:val="auto"/>
        </w:rPr>
        <w:t>April 23, 2026</w:t>
      </w:r>
    </w:p>
    <w:p>
      <w:pPr>
        <w:spacing w:after="0" w:line="240" w:lineRule="exact"/>
        <w:rPr>
          <w:sz w:val="24"/>
          <w:szCs w:val="24"/>
          <w:color w:val="auto"/>
        </w:rPr>
      </w:pPr>
    </w:p>
    <w:p>
      <w:pPr>
        <w:ind w:left="1500" w:right="1200" w:hanging="1499"/>
        <w:spacing w:after="0" w:line="250" w:lineRule="auto"/>
        <w:tabs>
          <w:tab w:leader="none" w:pos="1480" w:val="left"/>
        </w:tabs>
        <w:rPr>
          <w:sz w:val="20"/>
          <w:szCs w:val="20"/>
          <w:color w:val="auto"/>
        </w:rPr>
      </w:pPr>
      <w:r>
        <w:rPr>
          <w:rFonts w:ascii="Times New Roman" w:cs="Times New Roman" w:eastAsia="Times New Roman" w:hAnsi="Times New Roman"/>
          <w:sz w:val="24"/>
          <w:szCs w:val="24"/>
          <w:b w:val="1"/>
          <w:bCs w:val="1"/>
          <w:color w:val="auto"/>
        </w:rPr>
        <w:t>SUBJECT:</w:t>
      </w:r>
      <w:r>
        <w:rPr>
          <w:sz w:val="20"/>
          <w:szCs w:val="20"/>
          <w:color w:val="auto"/>
        </w:rPr>
        <w:tab/>
      </w:r>
      <w:r>
        <w:rPr>
          <w:rFonts w:ascii="Times New Roman" w:cs="Times New Roman" w:eastAsia="Times New Roman" w:hAnsi="Times New Roman"/>
          <w:sz w:val="24"/>
          <w:szCs w:val="24"/>
          <w:color w:val="auto"/>
        </w:rPr>
        <w:t>Case #260768 - South Center Subdivision, Lot 2 - Request approval of a Certificate of Appropriateness (CofA) for architectural elevations and site details for a mixed-used building on a 0.70-acre lot, located at 215 S. Center Street</w:t>
      </w:r>
    </w:p>
    <w:p>
      <w:pPr>
        <w:spacing w:after="0" w:line="200" w:lineRule="exact"/>
        <w:rPr>
          <w:sz w:val="24"/>
          <w:szCs w:val="24"/>
          <w:color w:val="auto"/>
        </w:rPr>
      </w:pPr>
    </w:p>
    <w:p>
      <w:pPr>
        <w:spacing w:after="0" w:line="270"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INTRODUCTION:</w:t>
      </w:r>
    </w:p>
    <w:p>
      <w:pPr>
        <w:spacing w:after="0" w:line="32" w:lineRule="exact"/>
        <w:rPr>
          <w:sz w:val="24"/>
          <w:szCs w:val="24"/>
          <w:color w:val="auto"/>
        </w:rPr>
      </w:pPr>
    </w:p>
    <w:p>
      <w:pPr>
        <w:jc w:val="both"/>
        <w:ind w:left="600"/>
        <w:spacing w:after="0"/>
        <w:rPr>
          <w:sz w:val="20"/>
          <w:szCs w:val="20"/>
          <w:color w:val="auto"/>
        </w:rPr>
      </w:pPr>
      <w:r>
        <w:rPr>
          <w:rFonts w:ascii="Times New Roman" w:cs="Times New Roman" w:eastAsia="Times New Roman" w:hAnsi="Times New Roman"/>
          <w:sz w:val="24"/>
          <w:szCs w:val="24"/>
          <w:color w:val="auto"/>
        </w:rPr>
        <w:t>McCarty Granberry Engineering (John McCarty, P.E.) on behalf of property owner McLemore &amp; Co., Realty (David McLemore) is requesting approval of Certificate of Appropriateness from the Historic District Commission (HDC) for a mixed-used building located at 215 S. Center Street (see Exhibits 3 &amp; 9).</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-640715</wp:posOffset>
            </wp:positionV>
            <wp:extent cx="60960" cy="6096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line="242" w:lineRule="auto"/>
        <w:rPr>
          <w:sz w:val="20"/>
          <w:szCs w:val="20"/>
          <w:color w:val="auto"/>
        </w:rPr>
      </w:pPr>
      <w:r>
        <w:rPr>
          <w:rFonts w:ascii="Times New Roman" w:cs="Times New Roman" w:eastAsia="Times New Roman" w:hAnsi="Times New Roman"/>
          <w:sz w:val="24"/>
          <w:szCs w:val="24"/>
          <w:color w:val="auto"/>
        </w:rPr>
        <w:t>The subject property (see Exhibit 1), which is Lot 2 in the South Center Subdivision, is zoned CB: Central Business. It is surrounded by CB zoning to the north and south (across W. South Street), MPO: Medical Professional Office to the west, and MU: Mixed Use to the east across S. Center Street.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-646430</wp:posOffset>
            </wp:positionV>
            <wp:extent cx="60960" cy="6096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15"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BACKGROUND:</w:t>
      </w:r>
    </w:p>
    <w:p>
      <w:pPr>
        <w:spacing w:after="0" w:line="32" w:lineRule="exact"/>
        <w:rPr>
          <w:sz w:val="24"/>
          <w:szCs w:val="24"/>
          <w:color w:val="auto"/>
        </w:rPr>
      </w:pPr>
    </w:p>
    <w:p>
      <w:pPr>
        <w:jc w:val="both"/>
        <w:ind w:left="600"/>
        <w:spacing w:after="0"/>
        <w:rPr>
          <w:sz w:val="20"/>
          <w:szCs w:val="20"/>
          <w:color w:val="auto"/>
        </w:rPr>
      </w:pPr>
      <w:r>
        <w:rPr>
          <w:rFonts w:ascii="Times New Roman" w:cs="Times New Roman" w:eastAsia="Times New Roman" w:hAnsi="Times New Roman"/>
          <w:sz w:val="24"/>
          <w:szCs w:val="24"/>
          <w:color w:val="auto"/>
        </w:rPr>
        <w:t>The subject property is within the Local Historic Overlay established in 1989 but not the National Register District.</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40"/>
        <w:spacing w:after="0"/>
        <w:rPr>
          <w:sz w:val="20"/>
          <w:szCs w:val="20"/>
          <w:color w:val="auto"/>
        </w:rPr>
      </w:pPr>
      <w:r>
        <w:rPr>
          <w:rFonts w:ascii="Times New Roman" w:cs="Times New Roman" w:eastAsia="Times New Roman" w:hAnsi="Times New Roman"/>
          <w:sz w:val="24"/>
          <w:szCs w:val="24"/>
          <w:color w:val="auto"/>
        </w:rPr>
        <w:t>The property, known as the Joseph A. Campbell House, is individually listed on the National Register of Historic Places.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In December 2019, the HDC denied a Certificate of Appropriateness (CofA) for demolition of the structures, finding they still had historic significance.</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rPr>
          <w:sz w:val="20"/>
          <w:szCs w:val="20"/>
          <w:color w:val="auto"/>
        </w:rPr>
      </w:pPr>
      <w:r>
        <w:rPr>
          <w:rFonts w:ascii="Times New Roman" w:cs="Times New Roman" w:eastAsia="Times New Roman" w:hAnsi="Times New Roman"/>
          <w:sz w:val="24"/>
          <w:szCs w:val="24"/>
          <w:color w:val="auto"/>
        </w:rPr>
        <w:t>A Certificate of Economic Hardship was conditionally granted by the HDC on August 28, 2025, to demolish the structure; however, it has not been demolished at this time.</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On January 22, 2026, the HDC conditionally approved a CofA for a Preliminary Site Plan for a mixed-use building at 215 S. Center Street; however, the HDC requested to review the changes to elevations and other site details with the Final Site Plan (see Exhibit 6).</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HDC held a work session on February 26, 2026, to discuss changes to the architectural elevations and site details (see Exhibit 7).</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line="248" w:lineRule="auto"/>
        <w:rPr>
          <w:sz w:val="20"/>
          <w:szCs w:val="20"/>
          <w:color w:val="auto"/>
        </w:rPr>
      </w:pPr>
      <w:r>
        <w:rPr>
          <w:rFonts w:ascii="Times New Roman" w:cs="Times New Roman" w:eastAsia="Times New Roman" w:hAnsi="Times New Roman"/>
          <w:sz w:val="24"/>
          <w:szCs w:val="24"/>
          <w:color w:val="auto"/>
        </w:rPr>
        <w:t>After the work session, revised drawings were emailed to the HDC members and staff collected feedback and sent it to the applicant (see Exhibit 8).</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06" w:lineRule="exact"/>
        <w:rPr>
          <w:sz w:val="24"/>
          <w:szCs w:val="24"/>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KEY POINTS:</w:t>
      </w:r>
    </w:p>
    <w:p>
      <w:pPr>
        <w:spacing w:after="0" w:line="32" w:lineRule="exact"/>
        <w:rPr>
          <w:sz w:val="24"/>
          <w:szCs w:val="24"/>
          <w:color w:val="auto"/>
        </w:rPr>
      </w:pPr>
    </w:p>
    <w:p>
      <w:pPr>
        <w:ind w:right="380"/>
        <w:spacing w:after="0" w:line="250" w:lineRule="auto"/>
        <w:tabs>
          <w:tab w:leader="none" w:pos="240" w:val="left"/>
        </w:tabs>
        <w:numPr>
          <w:ilvl w:val="0"/>
          <w:numId w:val="1"/>
        </w:numPr>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23"/>
          <w:szCs w:val="23"/>
          <w:b w:val="1"/>
          <w:bCs w:val="1"/>
          <w:color w:val="auto"/>
        </w:rPr>
        <w:t>The applicant intends to develop the property to construct a three-story, mixed-use building designed to match the commercial buildings on the Town Square (see Exhibits 3 &amp; 9).</w:t>
      </w:r>
    </w:p>
    <w:p>
      <w:pPr>
        <w:spacing w:after="0" w:line="1" w:lineRule="exact"/>
        <w:rPr>
          <w:rFonts w:ascii="Times New Roman" w:cs="Times New Roman" w:eastAsia="Times New Roman" w:hAnsi="Times New Roman"/>
          <w:sz w:val="23"/>
          <w:szCs w:val="23"/>
          <w:b w:val="1"/>
          <w:bCs w:val="1"/>
          <w:color w:val="auto"/>
        </w:rPr>
      </w:pPr>
    </w:p>
    <w:p>
      <w:pPr>
        <w:ind w:left="600" w:right="20" w:hanging="24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The proposed building has a footprint of 6,747 square feet on a 0.67-acre tract. Approximately 3,007 square feet will be retail use, and 3,190 square feet will be office use.</w:t>
      </w:r>
    </w:p>
    <w:p>
      <w:pPr>
        <w:ind w:left="360"/>
        <w:spacing w:after="0"/>
        <w:rPr>
          <w:rFonts w:ascii="Times New Roman" w:cs="Times New Roman" w:eastAsia="Times New Roman" w:hAnsi="Times New Roman"/>
          <w:sz w:val="23"/>
          <w:szCs w:val="23"/>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Twelve (12) dwelling units are proposed above the retail and office spaces.</w:t>
      </w:r>
    </w:p>
    <w:p>
      <w:pPr>
        <w:ind w:left="600"/>
        <w:spacing w:after="0"/>
        <w:rPr>
          <w:sz w:val="20"/>
          <w:szCs w:val="20"/>
          <w:color w:val="auto"/>
        </w:rPr>
      </w:pPr>
      <w:r>
        <w:rPr>
          <w:rFonts w:ascii="Times New Roman" w:cs="Times New Roman" w:eastAsia="Times New Roman" w:hAnsi="Times New Roman"/>
          <w:sz w:val="24"/>
          <w:szCs w:val="24"/>
          <w:color w:val="auto"/>
        </w:rPr>
        <w:t>The CB: Central Business zoning district has development standards based on the proposed use.</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As this building is mixed-use, the following setbacks are as follows:</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center"/>
        <w:ind w:right="-79"/>
        <w:spacing w:after="0"/>
        <w:rPr>
          <w:sz w:val="20"/>
          <w:szCs w:val="20"/>
          <w:color w:val="auto"/>
        </w:rPr>
      </w:pPr>
      <w:r>
        <w:rPr>
          <w:rFonts w:ascii="Times New Roman" w:cs="Times New Roman" w:eastAsia="Times New Roman" w:hAnsi="Times New Roman"/>
          <w:sz w:val="24"/>
          <w:szCs w:val="24"/>
          <w:color w:val="auto"/>
        </w:rPr>
        <w:t>Front Facade Zone - 0 - 15 feet (measured from the back of the public sidewalk)</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609600</wp:posOffset>
            </wp:positionH>
            <wp:positionV relativeFrom="paragraph">
              <wp:posOffset>-114935</wp:posOffset>
            </wp:positionV>
            <wp:extent cx="60960" cy="6096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ectPr>
          <w:pgSz w:w="12240" w:h="15840" w:orient="portrait"/>
          <w:cols w:equalWidth="0" w:num="1">
            <w:col w:w="10020"/>
          </w:cols>
          <w:pgMar w:left="1080" w:top="1173" w:right="1140" w:bottom="822" w:gutter="0" w:footer="0" w:header="0"/>
        </w:sectPr>
      </w:pPr>
    </w:p>
    <w:p>
      <w:pPr>
        <w:ind w:left="1200"/>
        <w:spacing w:after="0"/>
        <w:rPr>
          <w:sz w:val="20"/>
          <w:szCs w:val="20"/>
          <w:color w:val="auto"/>
        </w:rPr>
      </w:pPr>
      <w:r>
        <w:rPr>
          <w:rFonts w:ascii="Times New Roman" w:cs="Times New Roman" w:eastAsia="Times New Roman" w:hAnsi="Times New Roman"/>
          <w:sz w:val="24"/>
          <w:szCs w:val="24"/>
          <w:color w:val="auto"/>
        </w:rPr>
        <w:t>Side Yard Setback - 0 feet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-98425</wp:posOffset>
            </wp:positionV>
            <wp:extent cx="60960" cy="6096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6" w:lineRule="exact"/>
        <w:rPr>
          <w:sz w:val="20"/>
          <w:szCs w:val="20"/>
          <w:color w:val="auto"/>
        </w:rPr>
      </w:pPr>
    </w:p>
    <w:p>
      <w:pPr>
        <w:ind w:left="1200"/>
        <w:spacing w:after="0"/>
        <w:rPr>
          <w:sz w:val="20"/>
          <w:szCs w:val="20"/>
          <w:color w:val="auto"/>
        </w:rPr>
      </w:pPr>
      <w:r>
        <w:rPr>
          <w:rFonts w:ascii="Times New Roman" w:cs="Times New Roman" w:eastAsia="Times New Roman" w:hAnsi="Times New Roman"/>
          <w:sz w:val="24"/>
          <w:szCs w:val="24"/>
          <w:color w:val="auto"/>
        </w:rPr>
        <w:t>Rear Yard Setback - 0 feet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-114935</wp:posOffset>
            </wp:positionV>
            <wp:extent cx="60960" cy="6096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line="248" w:lineRule="auto"/>
        <w:rPr>
          <w:sz w:val="20"/>
          <w:szCs w:val="20"/>
          <w:color w:val="auto"/>
        </w:rPr>
      </w:pPr>
      <w:r>
        <w:rPr>
          <w:rFonts w:ascii="Times New Roman" w:cs="Times New Roman" w:eastAsia="Times New Roman" w:hAnsi="Times New Roman"/>
          <w:sz w:val="24"/>
          <w:szCs w:val="24"/>
          <w:color w:val="auto"/>
        </w:rPr>
        <w:t>The building is placed within the front facade zone along S. Center Street and approximately 3 feet along W. South Street and built adjacent to the proposed sidewalks.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06" w:lineRule="exact"/>
        <w:rPr>
          <w:sz w:val="20"/>
          <w:szCs w:val="20"/>
          <w:color w:val="auto"/>
        </w:rPr>
      </w:pPr>
    </w:p>
    <w:p>
      <w:pPr>
        <w:jc w:val="both"/>
        <w:spacing w:after="0" w:line="245" w:lineRule="auto"/>
        <w:tabs>
          <w:tab w:leader="none" w:pos="254" w:val="left"/>
        </w:tabs>
        <w:numPr>
          <w:ilvl w:val="0"/>
          <w:numId w:val="2"/>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The three-story building was designed to incorporate elements of commercial buildings within the Historic District (see Exhibit 9). It does not copy the design of the Town Square commercial buildings, but instead takes clues (materials, colors, storefront openings, windows, decorative elements, etc.) from the historic facades around the Town Square and reintroduces and reinterprets these traditional elements on a new building.</w:t>
      </w:r>
    </w:p>
    <w:p>
      <w:pPr>
        <w:spacing w:after="0" w:line="3" w:lineRule="exact"/>
        <w:rPr>
          <w:rFonts w:ascii="Times New Roman" w:cs="Times New Roman" w:eastAsia="Times New Roman" w:hAnsi="Times New Roman"/>
          <w:sz w:val="24"/>
          <w:szCs w:val="24"/>
          <w:b w:val="1"/>
          <w:bCs w:val="1"/>
          <w:color w:val="auto"/>
        </w:rPr>
      </w:pPr>
    </w:p>
    <w:p>
      <w:pPr>
        <w:jc w:val="right"/>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0">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Like most buildings on the Town Square, the building is majority masonry on all elevations, and the applicant is proposing the use of two (2) “painted face” brick colors (Henry Brick – “Heron</w:t>
      </w:r>
    </w:p>
    <w:p>
      <w:pPr>
        <w:ind w:left="600"/>
        <w:spacing w:after="0"/>
        <w:rPr>
          <w:sz w:val="20"/>
          <w:szCs w:val="20"/>
          <w:color w:val="auto"/>
        </w:rPr>
      </w:pPr>
      <w:r>
        <w:rPr>
          <w:rFonts w:ascii="Times New Roman" w:cs="Times New Roman" w:eastAsia="Times New Roman" w:hAnsi="Times New Roman"/>
          <w:sz w:val="24"/>
          <w:szCs w:val="24"/>
          <w:color w:val="auto"/>
        </w:rPr>
        <w:t>Bay” and Glen Gary “Burch/Birch”).</w:t>
      </w:r>
    </w:p>
    <w:p>
      <w:pPr>
        <w:ind w:left="1200"/>
        <w:spacing w:after="0"/>
        <w:rPr>
          <w:sz w:val="20"/>
          <w:szCs w:val="20"/>
          <w:color w:val="auto"/>
        </w:rPr>
      </w:pPr>
      <w:r>
        <w:rPr>
          <w:rFonts w:ascii="Times New Roman" w:cs="Times New Roman" w:eastAsia="Times New Roman" w:hAnsi="Times New Roman"/>
          <w:sz w:val="24"/>
          <w:szCs w:val="24"/>
          <w:color w:val="auto"/>
        </w:rPr>
        <w:t>A brick with a painted face appears similar to a painted brick building, but mortar joints are visible.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-290195</wp:posOffset>
            </wp:positionV>
            <wp:extent cx="60960" cy="6096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1">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1200"/>
        <w:spacing w:after="0"/>
        <w:rPr>
          <w:sz w:val="20"/>
          <w:szCs w:val="20"/>
          <w:color w:val="auto"/>
        </w:rPr>
      </w:pPr>
      <w:r>
        <w:rPr>
          <w:rFonts w:ascii="Times New Roman" w:cs="Times New Roman" w:eastAsia="Times New Roman" w:hAnsi="Times New Roman"/>
          <w:sz w:val="24"/>
          <w:szCs w:val="24"/>
          <w:color w:val="auto"/>
        </w:rPr>
        <w:t>The mortar joints will contrast with the brick colors.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-114935</wp:posOffset>
            </wp:positionV>
            <wp:extent cx="60960" cy="6096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2">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1200"/>
        <w:spacing w:after="0"/>
        <w:rPr>
          <w:sz w:val="20"/>
          <w:szCs w:val="20"/>
          <w:color w:val="auto"/>
        </w:rPr>
      </w:pPr>
      <w:r>
        <w:rPr>
          <w:rFonts w:ascii="Times New Roman" w:cs="Times New Roman" w:eastAsia="Times New Roman" w:hAnsi="Times New Roman"/>
          <w:sz w:val="24"/>
          <w:szCs w:val="24"/>
          <w:color w:val="auto"/>
        </w:rPr>
        <w:t>Cast stone is also proposed at the columns.</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-114935</wp:posOffset>
            </wp:positionV>
            <wp:extent cx="60960" cy="6096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right="20"/>
        <w:spacing w:after="0"/>
        <w:rPr>
          <w:sz w:val="20"/>
          <w:szCs w:val="20"/>
          <w:color w:val="auto"/>
        </w:rPr>
      </w:pPr>
      <w:r>
        <w:rPr>
          <w:rFonts w:ascii="Times New Roman" w:cs="Times New Roman" w:eastAsia="Times New Roman" w:hAnsi="Times New Roman"/>
          <w:sz w:val="24"/>
          <w:szCs w:val="24"/>
          <w:color w:val="auto"/>
        </w:rPr>
        <w:t>As this is a new building, and not an existing historic building, painted brick is appropriate (see Exhibit 4). This technique is sometimes used for new infill buildings to make them look older and to blend in.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4">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Glen Gary “Burch/Birch" brick faces are an off-white color. There are several off-white or bright-white painted brick buildings around the Town’s Square including, 126 E. Mulberry, Hammer Jewelers (136 E. Mulberry), Dirt &amp; Daises (92 N. Main) and Magnolia Soap (112 N. Main).</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-640715</wp:posOffset>
            </wp:positionV>
            <wp:extent cx="60960" cy="6096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vertical fiber cement siding will be “SW Iron Ore” (dark gray) and will be utilized on the elevator penthouse.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6">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line="248" w:lineRule="auto"/>
        <w:rPr>
          <w:sz w:val="20"/>
          <w:szCs w:val="20"/>
          <w:color w:val="auto"/>
        </w:rPr>
      </w:pPr>
      <w:r>
        <w:rPr>
          <w:rFonts w:ascii="Times New Roman" w:cs="Times New Roman" w:eastAsia="Times New Roman" w:hAnsi="Times New Roman"/>
          <w:sz w:val="24"/>
          <w:szCs w:val="24"/>
          <w:color w:val="auto"/>
        </w:rPr>
        <w:t>The roof-top mechanical units are proposed to be screened by the parapet along the north and west sides of the building (see Exhibit 2, Condition of Approval (COA) #3).</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06"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3. The doors and windows along the ground level will be metal and also painted “SW Iron Ore”.</w:t>
      </w:r>
    </w:p>
    <w:p>
      <w:pPr>
        <w:spacing w:after="0" w:line="32" w:lineRule="exact"/>
        <w:rPr>
          <w:sz w:val="20"/>
          <w:szCs w:val="20"/>
          <w:color w:val="auto"/>
        </w:rPr>
      </w:pPr>
    </w:p>
    <w:p>
      <w:pPr>
        <w:jc w:val="both"/>
        <w:ind w:left="600"/>
        <w:spacing w:after="0"/>
        <w:rPr>
          <w:sz w:val="20"/>
          <w:szCs w:val="20"/>
          <w:color w:val="auto"/>
        </w:rPr>
      </w:pPr>
      <w:r>
        <w:rPr>
          <w:rFonts w:ascii="Times New Roman" w:cs="Times New Roman" w:eastAsia="Times New Roman" w:hAnsi="Times New Roman"/>
          <w:sz w:val="24"/>
          <w:szCs w:val="24"/>
          <w:color w:val="auto"/>
        </w:rPr>
        <w:t>The proposed windows and patio doors (Juliet Balcony) on the second and third floors are “Pella Impervia Fiberglass” in the color black (see Exhibit 9, Page 7). The patio doors will have decorative iron fencing as well.</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single-hung windows are 4-over -4, and the double patio doors have a lite pattern of 6- over-6. The proposed shutters are made of composite material (painted “SW Iron Ore”), with shutter dogs. The shutters are also dimensional to half of the window.</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9">
                      <a:extLst>
                        <a:ext uri="{28A0092B-C50C-407E-A947-70E740481C1C}"/>
                      </a:extLst>
                    </a:blip>
                    <a:srcRect/>
                    <a:stretch>
                      <a:fillRect/>
                    </a:stretch>
                  </pic:blipFill>
                  <pic:spPr bwMode="auto">
                    <a:xfrm>
                      <a:off x="0" y="0"/>
                      <a:ext cx="60960" cy="60960"/>
                    </a:xfrm>
                    <a:prstGeom prst="rect">
                      <a:avLst/>
                    </a:prstGeom>
                    <a:noFill/>
                  </pic:spPr>
                </pic:pic>
              </a:graphicData>
            </a:graphic>
          </wp:anchor>
        </w:drawing>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Fencing is proposed along the rooftop amenity area and the elevator lobby.</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24" w:lineRule="exact"/>
        <w:rPr>
          <w:sz w:val="20"/>
          <w:szCs w:val="20"/>
          <w:color w:val="auto"/>
        </w:rPr>
      </w:pPr>
    </w:p>
    <w:p>
      <w:pPr>
        <w:ind w:right="20"/>
        <w:spacing w:after="0" w:line="276" w:lineRule="auto"/>
        <w:tabs>
          <w:tab w:leader="none" w:pos="290" w:val="left"/>
        </w:tabs>
        <w:numPr>
          <w:ilvl w:val="0"/>
          <w:numId w:val="3"/>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Wall mounted and pole (green) mounted fixtures will be traditional, which align with the Historic District Guidelines.</w:t>
      </w:r>
    </w:p>
    <w:p>
      <w:pPr>
        <w:spacing w:after="0" w:line="193" w:lineRule="exact"/>
        <w:rPr>
          <w:rFonts w:ascii="Times New Roman" w:cs="Times New Roman" w:eastAsia="Times New Roman" w:hAnsi="Times New Roman"/>
          <w:sz w:val="24"/>
          <w:szCs w:val="24"/>
          <w:b w:val="1"/>
          <w:bCs w:val="1"/>
          <w:color w:val="auto"/>
        </w:rPr>
      </w:pPr>
    </w:p>
    <w:p>
      <w:pPr>
        <w:ind w:left="240" w:hanging="240"/>
        <w:spacing w:after="0"/>
        <w:tabs>
          <w:tab w:leader="none" w:pos="240" w:val="left"/>
        </w:tabs>
        <w:numPr>
          <w:ilvl w:val="0"/>
          <w:numId w:val="3"/>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An iron fence (black) and gate are proposed around the gated parking.</w:t>
      </w:r>
    </w:p>
    <w:p>
      <w:pPr>
        <w:spacing w:after="0" w:line="32" w:lineRule="exact"/>
        <w:rPr>
          <w:sz w:val="20"/>
          <w:szCs w:val="20"/>
          <w:color w:val="auto"/>
        </w:rPr>
      </w:pPr>
    </w:p>
    <w:p>
      <w:pPr>
        <w:ind w:left="600"/>
        <w:spacing w:after="0"/>
        <w:rPr>
          <w:sz w:val="20"/>
          <w:szCs w:val="20"/>
          <w:color w:val="auto"/>
        </w:rPr>
      </w:pPr>
      <w:r>
        <w:rPr>
          <w:rFonts w:ascii="Times New Roman" w:cs="Times New Roman" w:eastAsia="Times New Roman" w:hAnsi="Times New Roman"/>
          <w:sz w:val="24"/>
          <w:szCs w:val="24"/>
          <w:color w:val="auto"/>
        </w:rPr>
        <w:t>The design of the fence is “Cast Iron Spear” and will be four (4) feet in height.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2">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600"/>
        <w:spacing w:after="0"/>
        <w:rPr>
          <w:sz w:val="20"/>
          <w:szCs w:val="20"/>
          <w:color w:val="auto"/>
        </w:rPr>
      </w:pPr>
      <w:r>
        <w:rPr>
          <w:rFonts w:ascii="Times New Roman" w:cs="Times New Roman" w:eastAsia="Times New Roman" w:hAnsi="Times New Roman"/>
          <w:sz w:val="24"/>
          <w:szCs w:val="24"/>
          <w:color w:val="auto"/>
        </w:rPr>
        <w:t>The gate will taper up to a height of approximately 7.5 feet (see Exhibit 9, Page 8).</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-114935</wp:posOffset>
            </wp:positionV>
            <wp:extent cx="60960" cy="60960"/>
            <wp:wrapNone/>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24" w:lineRule="exact"/>
        <w:rPr>
          <w:sz w:val="20"/>
          <w:szCs w:val="20"/>
          <w:color w:val="auto"/>
        </w:rPr>
      </w:pPr>
    </w:p>
    <w:p>
      <w:pPr>
        <w:spacing w:after="0" w:line="253" w:lineRule="auto"/>
        <w:tabs>
          <w:tab w:leader="none" w:pos="320" w:val="left"/>
        </w:tabs>
        <w:numPr>
          <w:ilvl w:val="0"/>
          <w:numId w:val="4"/>
        </w:numPr>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24"/>
          <w:szCs w:val="24"/>
          <w:b w:val="1"/>
          <w:bCs w:val="1"/>
          <w:color w:val="auto"/>
        </w:rPr>
        <w:t>Other change to the building and site have been made since the HDC considered the Preliminary Site Plan in January.</w:t>
      </w:r>
    </w:p>
    <w:p>
      <w:pPr>
        <w:spacing w:after="0" w:line="2" w:lineRule="exact"/>
        <w:rPr>
          <w:rFonts w:ascii="Times New Roman" w:cs="Times New Roman" w:eastAsia="Times New Roman" w:hAnsi="Times New Roman"/>
          <w:sz w:val="24"/>
          <w:szCs w:val="24"/>
          <w:b w:val="1"/>
          <w:bCs w:val="1"/>
          <w:color w:val="auto"/>
        </w:rPr>
      </w:pPr>
    </w:p>
    <w:p>
      <w:pPr>
        <w:ind w:left="600" w:hanging="240"/>
        <w:spacing w:after="0"/>
        <w:rPr>
          <w:rFonts w:ascii="Times New Roman" w:cs="Times New Roman" w:eastAsia="Times New Roman" w:hAnsi="Times New Roman"/>
          <w:sz w:val="24"/>
          <w:szCs w:val="24"/>
          <w:b w:val="1"/>
          <w:bCs w:val="1"/>
          <w:color w:val="auto"/>
        </w:rPr>
      </w:pPr>
      <w:r>
        <w:rPr>
          <w:rFonts w:ascii="Times New Roman" w:cs="Times New Roman" w:eastAsia="Times New Roman" w:hAnsi="Times New Roman"/>
          <w:sz w:val="1"/>
          <w:szCs w:val="1"/>
          <w:b w:val="1"/>
          <w:bCs w:val="1"/>
          <w:color w:val="auto"/>
        </w:rPr>
        <w:drawing>
          <wp:inline distT="0" distB="0" distL="0" distR="0">
            <wp:extent cx="60960" cy="6096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a:extLst>
                        <a:ext uri="{28A0092B-C50C-407E-A947-70E740481C1C}"/>
                      </a:extLst>
                    </a:blip>
                    <a:srcRect/>
                    <a:stretch>
                      <a:fillRect/>
                    </a:stretch>
                  </pic:blipFill>
                  <pic:spPr bwMode="auto">
                    <a:xfrm>
                      <a:off x="0" y="0"/>
                      <a:ext cx="60960" cy="60960"/>
                    </a:xfrm>
                    <a:prstGeom prst="rect">
                      <a:avLst/>
                    </a:prstGeom>
                    <a:noFill/>
                    <a:ln>
                      <a:noFill/>
                    </a:ln>
                  </pic:spPr>
                </pic:pic>
              </a:graphicData>
            </a:graphic>
          </wp:inline>
        </w:drawing>
      </w:r>
      <w:r>
        <w:rPr>
          <w:rFonts w:ascii="Times New Roman" w:cs="Times New Roman" w:eastAsia="Times New Roman" w:hAnsi="Times New Roman"/>
          <w:sz w:val="24"/>
          <w:szCs w:val="24"/>
          <w:color w:val="auto"/>
        </w:rPr>
        <w:t xml:space="preserve"> At the previous voting meeting, staff had concerns about the visibility of the dumpster enclosure facing W. South Street and a condition of approval stated additional landscape should be used to screen from the public realm.</w:t>
      </w:r>
    </w:p>
    <w:p>
      <w:pPr>
        <w:sectPr>
          <w:pgSz w:w="12240" w:h="15840" w:orient="portrait"/>
          <w:cols w:equalWidth="0" w:num="1">
            <w:col w:w="10020"/>
          </w:cols>
          <w:pgMar w:left="1080" w:top="831" w:right="1140" w:bottom="609" w:gutter="0" w:footer="0" w:header="0"/>
        </w:sectPr>
      </w:pPr>
    </w:p>
    <w:p>
      <w:pPr>
        <w:jc w:val="both"/>
        <w:ind w:left="600"/>
        <w:spacing w:after="0" w:line="251" w:lineRule="auto"/>
        <w:rPr>
          <w:sz w:val="20"/>
          <w:szCs w:val="20"/>
          <w:color w:val="auto"/>
        </w:rPr>
      </w:pPr>
      <w:r>
        <w:rPr>
          <w:rFonts w:ascii="Times New Roman" w:cs="Times New Roman" w:eastAsia="Times New Roman" w:hAnsi="Times New Roman"/>
          <w:sz w:val="24"/>
          <w:szCs w:val="24"/>
          <w:color w:val="auto"/>
        </w:rPr>
        <w:t>The direction of the dumpster has not changed, but the size has been reduced, and it has been repositioned to the east.</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-289560</wp:posOffset>
            </wp:positionV>
            <wp:extent cx="60960" cy="6096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ind w:left="1200"/>
        <w:spacing w:after="0"/>
        <w:rPr>
          <w:sz w:val="20"/>
          <w:szCs w:val="20"/>
          <w:color w:val="auto"/>
        </w:rPr>
      </w:pPr>
      <w:r>
        <w:rPr>
          <w:rFonts w:ascii="Times New Roman" w:cs="Times New Roman" w:eastAsia="Times New Roman" w:hAnsi="Times New Roman"/>
          <w:sz w:val="24"/>
          <w:szCs w:val="24"/>
          <w:color w:val="auto"/>
        </w:rPr>
        <w:t>Details provided by the architect show a brick dumpster enclosure (matching the building) eight (8) feet in height, with two (2) gates and an accessible entry on the east elevation. Additional information is needed about the material of the gate (see Exhibit 2, COA #1).</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609600</wp:posOffset>
            </wp:positionH>
            <wp:positionV relativeFrom="paragraph">
              <wp:posOffset>-465455</wp:posOffset>
            </wp:positionV>
            <wp:extent cx="60960" cy="60960"/>
            <wp:wrapNone/>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6">
                      <a:extLst>
                        <a:ext uri="{28A0092B-C50C-407E-A947-70E740481C1C}"/>
                      </a:extLst>
                    </a:blip>
                    <a:srcRect/>
                    <a:stretch>
                      <a:fillRect/>
                    </a:stretch>
                  </pic:blipFill>
                  <pic:spPr bwMode="auto">
                    <a:xfrm>
                      <a:off x="0" y="0"/>
                      <a:ext cx="60960" cy="60960"/>
                    </a:xfrm>
                    <a:prstGeom prst="rect">
                      <a:avLst/>
                    </a:prstGeom>
                    <a:noFill/>
                  </pic:spPr>
                </pic:pic>
              </a:graphicData>
            </a:graphic>
          </wp:anchor>
        </w:drawing>
        <w:drawing>
          <wp:anchor simplePos="0" relativeHeight="251657728" behindDoc="1" locked="0" layoutInCell="0" allowOverlap="1">
            <wp:simplePos x="0" y="0"/>
            <wp:positionH relativeFrom="column">
              <wp:posOffset>609600</wp:posOffset>
            </wp:positionH>
            <wp:positionV relativeFrom="paragraph">
              <wp:posOffset>-114935</wp:posOffset>
            </wp:positionV>
            <wp:extent cx="60960" cy="6096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7">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rPr>
          <w:sz w:val="20"/>
          <w:szCs w:val="20"/>
          <w:color w:val="auto"/>
        </w:rPr>
      </w:pPr>
      <w:r>
        <w:rPr>
          <w:rFonts w:ascii="Times New Roman" w:cs="Times New Roman" w:eastAsia="Times New Roman" w:hAnsi="Times New Roman"/>
          <w:sz w:val="24"/>
          <w:szCs w:val="24"/>
          <w:color w:val="auto"/>
        </w:rPr>
        <w:t>A fenced dog park has been added to the west of the dumpster enclosure, and the fence will match the fence around the gated parking spaces (see Exhibit 9, Page 9).</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-290195</wp:posOffset>
            </wp:positionV>
            <wp:extent cx="60960" cy="60960"/>
            <wp:wrapNone/>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8">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spacing w:after="0"/>
        <w:rPr>
          <w:sz w:val="20"/>
          <w:szCs w:val="20"/>
          <w:color w:val="auto"/>
        </w:rPr>
      </w:pPr>
      <w:r>
        <w:rPr>
          <w:rFonts w:ascii="Times New Roman" w:cs="Times New Roman" w:eastAsia="Times New Roman" w:hAnsi="Times New Roman"/>
          <w:sz w:val="24"/>
          <w:szCs w:val="24"/>
          <w:color w:val="auto"/>
        </w:rPr>
        <w:t>The fourth floor has been removed and now there is a 678-square-foot amenity area with outdoor seating (see Exhibit 9, Pages 2-5) accessed by elevator structure visible on the rooftop and stairs (per Fire Code),</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-465455</wp:posOffset>
            </wp:positionV>
            <wp:extent cx="60960" cy="60960"/>
            <wp:wrapNone/>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jc w:val="both"/>
        <w:ind w:left="600" w:right="20"/>
        <w:spacing w:after="0" w:line="248" w:lineRule="auto"/>
        <w:rPr>
          <w:sz w:val="20"/>
          <w:szCs w:val="20"/>
          <w:color w:val="auto"/>
        </w:rPr>
      </w:pPr>
      <w:r>
        <w:rPr>
          <w:rFonts w:ascii="Times New Roman" w:cs="Times New Roman" w:eastAsia="Times New Roman" w:hAnsi="Times New Roman"/>
          <w:sz w:val="24"/>
          <w:szCs w:val="24"/>
          <w:color w:val="auto"/>
        </w:rPr>
        <w:t>A canopy over the resident parking has been added along the parking abutting the building to the north (see Exhibit 9, Page 1).</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228600</wp:posOffset>
            </wp:positionH>
            <wp:positionV relativeFrom="paragraph">
              <wp:posOffset>-302260</wp:posOffset>
            </wp:positionV>
            <wp:extent cx="60960" cy="60960"/>
            <wp:wrapNone/>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0">
                      <a:extLst>
                        <a:ext uri="{28A0092B-C50C-407E-A947-70E740481C1C}"/>
                      </a:extLst>
                    </a:blip>
                    <a:srcRect/>
                    <a:stretch>
                      <a:fillRect/>
                    </a:stretch>
                  </pic:blipFill>
                  <pic:spPr bwMode="auto">
                    <a:xfrm>
                      <a:off x="0" y="0"/>
                      <a:ext cx="60960" cy="60960"/>
                    </a:xfrm>
                    <a:prstGeom prst="rect">
                      <a:avLst/>
                    </a:prstGeom>
                    <a:noFill/>
                  </pic:spPr>
                </pic:pic>
              </a:graphicData>
            </a:graphic>
          </wp:anchor>
        </w:drawing>
      </w:r>
    </w:p>
    <w:p>
      <w:pPr>
        <w:spacing w:after="0" w:line="206" w:lineRule="exact"/>
        <w:rPr>
          <w:sz w:val="20"/>
          <w:szCs w:val="20"/>
          <w:color w:val="auto"/>
        </w:rPr>
      </w:pPr>
    </w:p>
    <w:p>
      <w:pPr>
        <w:jc w:val="both"/>
        <w:spacing w:after="0" w:line="258" w:lineRule="auto"/>
        <w:rPr>
          <w:sz w:val="20"/>
          <w:szCs w:val="20"/>
          <w:color w:val="auto"/>
        </w:rPr>
      </w:pPr>
      <w:r>
        <w:rPr>
          <w:rFonts w:ascii="Times New Roman" w:cs="Times New Roman" w:eastAsia="Times New Roman" w:hAnsi="Times New Roman"/>
          <w:sz w:val="24"/>
          <w:szCs w:val="24"/>
          <w:b w:val="1"/>
          <w:bCs w:val="1"/>
          <w:color w:val="auto"/>
        </w:rPr>
        <w:t>STAFF RECOMMENDATION:</w:t>
      </w:r>
      <w:r>
        <w:rPr>
          <w:rFonts w:ascii="Times New Roman" w:cs="Times New Roman" w:eastAsia="Times New Roman" w:hAnsi="Times New Roman"/>
          <w:sz w:val="24"/>
          <w:szCs w:val="24"/>
          <w:color w:val="auto"/>
        </w:rPr>
        <w:t xml:space="preserve"> Approval is recommended of the Certificate of Appropriateness (CofA) for architecture and site details with the conditions of approval, the site will be consistent with the local Historic District Guidelines (see Exhibit 5) and the Zoning Regulations.</w:t>
      </w:r>
    </w:p>
    <w:p>
      <w:pPr>
        <w:spacing w:after="0" w:line="214"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ATTACHMENTS:</w:t>
      </w:r>
    </w:p>
    <w:p>
      <w:pPr>
        <w:spacing w:after="0" w:line="32" w:lineRule="exact"/>
        <w:rPr>
          <w:sz w:val="20"/>
          <w:szCs w:val="20"/>
          <w:color w:val="auto"/>
        </w:rPr>
      </w:pPr>
    </w:p>
    <w:p>
      <w:pPr>
        <w:spacing w:after="0"/>
        <w:rPr>
          <w:rFonts w:ascii="Times New Roman" w:cs="Times New Roman" w:eastAsia="Times New Roman" w:hAnsi="Times New Roman"/>
          <w:sz w:val="24"/>
          <w:szCs w:val="24"/>
          <w:color w:val="0000EE"/>
        </w:rPr>
      </w:pPr>
      <w:hyperlink r:id="rId51">
        <w:r>
          <w:rPr>
            <w:rFonts w:ascii="Times New Roman" w:cs="Times New Roman" w:eastAsia="Times New Roman" w:hAnsi="Times New Roman"/>
            <w:sz w:val="24"/>
            <w:szCs w:val="24"/>
            <w:color w:val="0000EE"/>
          </w:rPr>
          <w:t>Exhibit 1 Vicinity Map &amp; Contact Information 4.10.26.pdf</w:t>
        </w:r>
      </w:hyperlink>
    </w:p>
    <w:p>
      <w:pPr>
        <w:spacing w:after="0"/>
        <w:rPr>
          <w:rFonts w:ascii="Times New Roman" w:cs="Times New Roman" w:eastAsia="Times New Roman" w:hAnsi="Times New Roman"/>
          <w:sz w:val="24"/>
          <w:szCs w:val="24"/>
          <w:color w:val="0000EE"/>
        </w:rPr>
      </w:pPr>
      <w:hyperlink r:id="rId52">
        <w:r>
          <w:rPr>
            <w:rFonts w:ascii="Times New Roman" w:cs="Times New Roman" w:eastAsia="Times New Roman" w:hAnsi="Times New Roman"/>
            <w:sz w:val="24"/>
            <w:szCs w:val="24"/>
            <w:color w:val="0000EE"/>
          </w:rPr>
          <w:t>Exhibit 2 Conditions of Approval 4.17.26.pdf</w:t>
        </w:r>
      </w:hyperlink>
    </w:p>
    <w:p>
      <w:pPr>
        <w:spacing w:after="0"/>
        <w:rPr>
          <w:rFonts w:ascii="Times New Roman" w:cs="Times New Roman" w:eastAsia="Times New Roman" w:hAnsi="Times New Roman"/>
          <w:sz w:val="24"/>
          <w:szCs w:val="24"/>
          <w:color w:val="0000EE"/>
        </w:rPr>
      </w:pPr>
      <w:hyperlink r:id="rId53">
        <w:r>
          <w:rPr>
            <w:rFonts w:ascii="Times New Roman" w:cs="Times New Roman" w:eastAsia="Times New Roman" w:hAnsi="Times New Roman"/>
            <w:sz w:val="24"/>
            <w:szCs w:val="24"/>
            <w:color w:val="0000EE"/>
          </w:rPr>
          <w:t>Exhibit 3 Cover Letter 3.26.26.pdf</w:t>
        </w:r>
      </w:hyperlink>
    </w:p>
    <w:p>
      <w:pPr>
        <w:spacing w:after="0"/>
        <w:rPr>
          <w:rFonts w:ascii="Times New Roman" w:cs="Times New Roman" w:eastAsia="Times New Roman" w:hAnsi="Times New Roman"/>
          <w:sz w:val="24"/>
          <w:szCs w:val="24"/>
          <w:color w:val="0000EE"/>
        </w:rPr>
      </w:pPr>
      <w:hyperlink r:id="rId54">
        <w:r>
          <w:rPr>
            <w:rFonts w:ascii="Times New Roman" w:cs="Times New Roman" w:eastAsia="Times New Roman" w:hAnsi="Times New Roman"/>
            <w:sz w:val="24"/>
            <w:szCs w:val="24"/>
            <w:color w:val="0000EE"/>
          </w:rPr>
          <w:t>Exhibit 4 Site Furnishing Specifications 4.2.26.pdf</w:t>
        </w:r>
      </w:hyperlink>
    </w:p>
    <w:p>
      <w:pPr>
        <w:spacing w:after="0"/>
        <w:rPr>
          <w:rFonts w:ascii="Times New Roman" w:cs="Times New Roman" w:eastAsia="Times New Roman" w:hAnsi="Times New Roman"/>
          <w:sz w:val="24"/>
          <w:szCs w:val="24"/>
          <w:color w:val="0000EE"/>
        </w:rPr>
      </w:pPr>
      <w:hyperlink r:id="rId55">
        <w:r>
          <w:rPr>
            <w:rFonts w:ascii="Times New Roman" w:cs="Times New Roman" w:eastAsia="Times New Roman" w:hAnsi="Times New Roman"/>
            <w:sz w:val="24"/>
            <w:szCs w:val="24"/>
            <w:color w:val="0000EE"/>
          </w:rPr>
          <w:t>Exhibit 5 Historic District Guidelines Excerpt 4.17.26.pdf</w:t>
        </w:r>
      </w:hyperlink>
    </w:p>
    <w:p>
      <w:pPr>
        <w:spacing w:after="0"/>
        <w:rPr>
          <w:rFonts w:ascii="Times New Roman" w:cs="Times New Roman" w:eastAsia="Times New Roman" w:hAnsi="Times New Roman"/>
          <w:sz w:val="24"/>
          <w:szCs w:val="24"/>
          <w:color w:val="0000EE"/>
        </w:rPr>
      </w:pPr>
      <w:hyperlink r:id="rId56">
        <w:r>
          <w:rPr>
            <w:rFonts w:ascii="Times New Roman" w:cs="Times New Roman" w:eastAsia="Times New Roman" w:hAnsi="Times New Roman"/>
            <w:sz w:val="24"/>
            <w:szCs w:val="24"/>
            <w:color w:val="0000EE"/>
          </w:rPr>
          <w:t>Exhibit 6 HDC Meeting Minutes 1.22.26.pdf</w:t>
        </w:r>
      </w:hyperlink>
    </w:p>
    <w:p>
      <w:pPr>
        <w:spacing w:after="0"/>
        <w:rPr>
          <w:rFonts w:ascii="Times New Roman" w:cs="Times New Roman" w:eastAsia="Times New Roman" w:hAnsi="Times New Roman"/>
          <w:sz w:val="24"/>
          <w:szCs w:val="24"/>
          <w:color w:val="0000EE"/>
        </w:rPr>
      </w:pPr>
      <w:hyperlink r:id="rId57">
        <w:r>
          <w:rPr>
            <w:rFonts w:ascii="Times New Roman" w:cs="Times New Roman" w:eastAsia="Times New Roman" w:hAnsi="Times New Roman"/>
            <w:sz w:val="24"/>
            <w:szCs w:val="24"/>
            <w:color w:val="0000EE"/>
          </w:rPr>
          <w:t>Exhibit 7 HDC Work Session Minutes 2.26.26.pdf</w:t>
        </w:r>
      </w:hyperlink>
    </w:p>
    <w:p>
      <w:pPr>
        <w:spacing w:after="0"/>
        <w:rPr>
          <w:rFonts w:ascii="Times New Roman" w:cs="Times New Roman" w:eastAsia="Times New Roman" w:hAnsi="Times New Roman"/>
          <w:sz w:val="24"/>
          <w:szCs w:val="24"/>
          <w:color w:val="0000EE"/>
        </w:rPr>
      </w:pPr>
      <w:hyperlink r:id="rId58">
        <w:r>
          <w:rPr>
            <w:rFonts w:ascii="Times New Roman" w:cs="Times New Roman" w:eastAsia="Times New Roman" w:hAnsi="Times New Roman"/>
            <w:sz w:val="24"/>
            <w:szCs w:val="24"/>
            <w:color w:val="0000EE"/>
          </w:rPr>
          <w:t>Exhibit 8 Feedback Email Correspondence 3.16.26.pdf</w:t>
        </w:r>
      </w:hyperlink>
    </w:p>
    <w:p>
      <w:pPr>
        <w:spacing w:after="0"/>
        <w:rPr>
          <w:rFonts w:ascii="Times New Roman" w:cs="Times New Roman" w:eastAsia="Times New Roman" w:hAnsi="Times New Roman"/>
          <w:sz w:val="24"/>
          <w:szCs w:val="24"/>
          <w:color w:val="0000EE"/>
        </w:rPr>
      </w:pPr>
      <w:hyperlink r:id="rId59">
        <w:r>
          <w:rPr>
            <w:rFonts w:ascii="Times New Roman" w:cs="Times New Roman" w:eastAsia="Times New Roman" w:hAnsi="Times New Roman"/>
            <w:sz w:val="24"/>
            <w:szCs w:val="24"/>
            <w:color w:val="0000EE"/>
          </w:rPr>
          <w:t>Exhibit 9 Architecture &amp; Site Details 4.2.26.pdf</w:t>
        </w:r>
      </w:hyperlink>
    </w:p>
    <w:p>
      <w:pPr>
        <w:spacing w:after="0" w:line="244" w:lineRule="exact"/>
        <w:rPr>
          <w:sz w:val="20"/>
          <w:szCs w:val="20"/>
          <w:color w:val="auto"/>
        </w:rPr>
      </w:pPr>
    </w:p>
    <w:p>
      <w:pPr>
        <w:spacing w:after="0"/>
        <w:rPr>
          <w:sz w:val="20"/>
          <w:szCs w:val="20"/>
          <w:color w:val="auto"/>
        </w:rPr>
      </w:pPr>
      <w:r>
        <w:rPr>
          <w:rFonts w:ascii="Times New Roman" w:cs="Times New Roman" w:eastAsia="Times New Roman" w:hAnsi="Times New Roman"/>
          <w:sz w:val="24"/>
          <w:szCs w:val="24"/>
          <w:b w:val="1"/>
          <w:bCs w:val="1"/>
          <w:color w:val="auto"/>
        </w:rPr>
        <w:t>PROPOSED MOTION:</w:t>
      </w:r>
    </w:p>
    <w:p>
      <w:pPr>
        <w:spacing w:after="0" w:line="32" w:lineRule="exact"/>
        <w:rPr>
          <w:sz w:val="20"/>
          <w:szCs w:val="20"/>
          <w:color w:val="auto"/>
        </w:rPr>
      </w:pPr>
    </w:p>
    <w:p>
      <w:pPr>
        <w:ind w:right="280"/>
        <w:spacing w:after="0" w:line="248" w:lineRule="auto"/>
        <w:rPr>
          <w:sz w:val="20"/>
          <w:szCs w:val="20"/>
          <w:color w:val="auto"/>
        </w:rPr>
      </w:pPr>
      <w:r>
        <w:rPr>
          <w:rFonts w:ascii="Times New Roman" w:cs="Times New Roman" w:eastAsia="Times New Roman" w:hAnsi="Times New Roman"/>
          <w:sz w:val="24"/>
          <w:szCs w:val="24"/>
          <w:color w:val="auto"/>
        </w:rPr>
        <w:t>To approve a Certificate of Appropriateness for architecture and site details for mixed-use building at 215 S. Center Street, subject to the conditions in Exhibit 2.</w:t>
      </w:r>
    </w:p>
    <w:sectPr>
      <w:pgSz w:w="12240" w:h="15840" w:orient="portrait"/>
      <w:cols w:equalWidth="0" w:num="1">
        <w:col w:w="10020"/>
      </w:cols>
      <w:pgMar w:left="1080" w:top="831" w:right="114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http://schemas.openxmlformats.org/wordprocessingml/2006/main">
  <w:abstractNum w:abstractNumId="0">
    <w:nsid w:val="1649"/>
    <w:multiLevelType w:val="hybridMultilevel"/>
    <w:lvl w:ilvl="0">
      <w:lvlJc w:val="left"/>
      <w:lvlText w:val="%1."/>
      <w:numFmt w:val="decimal"/>
      <w:start w:val="1"/>
    </w:lvl>
  </w:abstractNum>
  <w:abstractNum w:abstractNumId="1">
    <w:nsid w:val="6DF1"/>
    <w:multiLevelType w:val="hybridMultilevel"/>
    <w:lvl w:ilvl="0">
      <w:lvlJc w:val="left"/>
      <w:lvlText w:val="%1."/>
      <w:numFmt w:val="decimal"/>
      <w:start w:val="2"/>
    </w:lvl>
  </w:abstractNum>
  <w:abstractNum w:abstractNumId="2">
    <w:nsid w:val="5AF1"/>
    <w:multiLevelType w:val="hybridMultilevel"/>
    <w:lvl w:ilvl="0">
      <w:lvlJc w:val="left"/>
      <w:lvlText w:val="%1."/>
      <w:numFmt w:val="decimal"/>
      <w:start w:val="4"/>
    </w:lvl>
  </w:abstractNum>
  <w:abstractNum w:abstractNumId="3">
    <w:nsid w:val="41BB"/>
    <w:multiLevelType w:val="hybridMultilevel"/>
    <w:lvl w:ilvl="0">
      <w:lvlJc w:val="left"/>
      <w:lvlText w:val="%1."/>
      <w:numFmt w:val="decimal"/>
      <w:start w:val="6"/>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png"/><Relationship Id="rId13" Type="http://schemas.openxmlformats.org/officeDocument/2006/relationships/image" Target="media/image2.png"/><Relationship Id="rId14" Type="http://schemas.openxmlformats.org/officeDocument/2006/relationships/image" Target="media/image3.png"/><Relationship Id="rId15" Type="http://schemas.openxmlformats.org/officeDocument/2006/relationships/image" Target="media/image4.png"/><Relationship Id="rId16" Type="http://schemas.openxmlformats.org/officeDocument/2006/relationships/image" Target="media/image5.png"/><Relationship Id="rId17" Type="http://schemas.openxmlformats.org/officeDocument/2006/relationships/image" Target="media/image6.png"/><Relationship Id="rId18" Type="http://schemas.openxmlformats.org/officeDocument/2006/relationships/image" Target="media/image7.png"/><Relationship Id="rId19" Type="http://schemas.openxmlformats.org/officeDocument/2006/relationships/image" Target="media/image8.png"/><Relationship Id="rId20" Type="http://schemas.openxmlformats.org/officeDocument/2006/relationships/image" Target="media/image9.png"/><Relationship Id="rId21" Type="http://schemas.openxmlformats.org/officeDocument/2006/relationships/image" Target="media/image10.png"/><Relationship Id="rId22" Type="http://schemas.openxmlformats.org/officeDocument/2006/relationships/image" Target="media/image11.png"/><Relationship Id="rId23" Type="http://schemas.openxmlformats.org/officeDocument/2006/relationships/image" Target="media/image12.png"/><Relationship Id="rId24" Type="http://schemas.openxmlformats.org/officeDocument/2006/relationships/image" Target="media/image13.png"/><Relationship Id="rId25" Type="http://schemas.openxmlformats.org/officeDocument/2006/relationships/image" Target="media/image14.png"/><Relationship Id="rId26" Type="http://schemas.openxmlformats.org/officeDocument/2006/relationships/image" Target="media/image15.png"/><Relationship Id="rId27" Type="http://schemas.openxmlformats.org/officeDocument/2006/relationships/image" Target="media/image16.png"/><Relationship Id="rId28" Type="http://schemas.openxmlformats.org/officeDocument/2006/relationships/image" Target="media/image17.png"/><Relationship Id="rId29" Type="http://schemas.openxmlformats.org/officeDocument/2006/relationships/image" Target="media/image18.png"/><Relationship Id="rId30" Type="http://schemas.openxmlformats.org/officeDocument/2006/relationships/image" Target="media/image19.png"/><Relationship Id="rId31" Type="http://schemas.openxmlformats.org/officeDocument/2006/relationships/image" Target="media/image20.png"/><Relationship Id="rId32" Type="http://schemas.openxmlformats.org/officeDocument/2006/relationships/image" Target="media/image21.png"/><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png"/><Relationship Id="rId36" Type="http://schemas.openxmlformats.org/officeDocument/2006/relationships/image" Target="media/image25.png"/><Relationship Id="rId37" Type="http://schemas.openxmlformats.org/officeDocument/2006/relationships/image" Target="media/image26.png"/><Relationship Id="rId38" Type="http://schemas.openxmlformats.org/officeDocument/2006/relationships/image" Target="media/image27.png"/><Relationship Id="rId39" Type="http://schemas.openxmlformats.org/officeDocument/2006/relationships/image" Target="media/image28.png"/><Relationship Id="rId40" Type="http://schemas.openxmlformats.org/officeDocument/2006/relationships/image" Target="media/image29.png"/><Relationship Id="rId41" Type="http://schemas.openxmlformats.org/officeDocument/2006/relationships/image" Target="media/image30.png"/><Relationship Id="rId42" Type="http://schemas.openxmlformats.org/officeDocument/2006/relationships/image" Target="media/image31.png"/><Relationship Id="rId43" Type="http://schemas.openxmlformats.org/officeDocument/2006/relationships/image" Target="media/image32.png"/><Relationship Id="rId44" Type="http://schemas.openxmlformats.org/officeDocument/2006/relationships/image" Target="media/image33.png"/><Relationship Id="rId45" Type="http://schemas.openxmlformats.org/officeDocument/2006/relationships/image" Target="media/image34.png"/><Relationship Id="rId46" Type="http://schemas.openxmlformats.org/officeDocument/2006/relationships/image" Target="media/image35.png"/><Relationship Id="rId47" Type="http://schemas.openxmlformats.org/officeDocument/2006/relationships/image" Target="media/image36.png"/><Relationship Id="rId48" Type="http://schemas.openxmlformats.org/officeDocument/2006/relationships/image" Target="media/image37.png"/><Relationship Id="rId49" Type="http://schemas.openxmlformats.org/officeDocument/2006/relationships/image" Target="media/image38.png"/><Relationship Id="rId50" Type="http://schemas.openxmlformats.org/officeDocument/2006/relationships/image" Target="media/image39.png"/><Relationship Id="rId51" Type="http://schemas.openxmlformats.org/officeDocument/2006/relationships/hyperlink" Target="https://collierville.granicus.com/services/legistar/download/pdf/4047649/Exhibit_1_Vicinity_Map___Contact_Information_4.10.26.pdf" TargetMode="External"/><Relationship Id="rId52" Type="http://schemas.openxmlformats.org/officeDocument/2006/relationships/hyperlink" Target="https://collierville.granicus.com/services/legistar/download/pdf/4047650/Exhibit_2_Conditions_of_Approval_4.17.26.pdf" TargetMode="External"/><Relationship Id="rId53" Type="http://schemas.openxmlformats.org/officeDocument/2006/relationships/hyperlink" Target="https://collierville.granicus.com/services/legistar/download/pdf/4047651/Exhibit_3_Cover_Letter_3.26.26.pdf" TargetMode="External"/><Relationship Id="rId54" Type="http://schemas.openxmlformats.org/officeDocument/2006/relationships/hyperlink" Target="https://collierville.granicus.com/services/legistar/download/pdf/4047652/Exhibit_4_Site_Furnishing_Specifications_4.2.26.pdf" TargetMode="External"/><Relationship Id="rId55" Type="http://schemas.openxmlformats.org/officeDocument/2006/relationships/hyperlink" Target="https://collierville.granicus.com/services/legistar/download/pdf/4047654/Exhibit_5_Historic_District_Guidelines_Excerpt_4.17.26.pdf" TargetMode="External"/><Relationship Id="rId56" Type="http://schemas.openxmlformats.org/officeDocument/2006/relationships/hyperlink" Target="https://collierville.granicus.com/services/legistar/download/pdf/4047655/Exhibit_6_HDC_Meeting_Minutes_1.22.26.pdf" TargetMode="External"/><Relationship Id="rId57" Type="http://schemas.openxmlformats.org/officeDocument/2006/relationships/hyperlink" Target="https://collierville.granicus.com/services/legistar/download/pdf/4047656/Exhibit_7_HDC_Work_Session_Minutes_2.26.26.pdf" TargetMode="External"/><Relationship Id="rId58" Type="http://schemas.openxmlformats.org/officeDocument/2006/relationships/hyperlink" Target="https://collierville.granicus.com/services/legistar/download/pdf/4047657/Exhibit_8_Feedback_Email_Correspondence_3.16.26.pdf" TargetMode="External"/><Relationship Id="rId59" Type="http://schemas.openxmlformats.org/officeDocument/2006/relationships/hyperlink" Target="https://collierville.granicus.com/services/legistar/download/pdf/4047658/Exhibit_9_Architecture___Site_Details_4.2.26.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2026-04-17T17:15:34Z</dcterms:created>
  <dcterms:modified xsi:type="dcterms:W3CDTF">2026-04-17T17:15:34Z</dcterms:modified>
</cp:coreProperties>
</file>