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p>
      <w:pPr>
        <w:jc w:val="center"/>
        <w:spacing w:after="0"/>
        <w:rPr>
          <w:sz w:val="20"/>
          <w:szCs w:val="20"/>
          <w:color w:val="auto"/>
        </w:rPr>
      </w:pPr>
      <w:r>
        <w:rPr>
          <w:rFonts w:ascii="Times New Roman" w:cs="Times New Roman" w:eastAsia="Times New Roman" w:hAnsi="Times New Roman"/>
          <w:sz w:val="24"/>
          <w:szCs w:val="24"/>
          <w:b w:val="1"/>
          <w:bCs w:val="1"/>
          <w:color w:val="auto"/>
        </w:rPr>
        <w:drawing>
          <wp:anchor simplePos="0" relativeHeight="251657728" behindDoc="1" locked="0" layoutInCell="0" allowOverlap="1">
            <wp:simplePos x="0" y="0"/>
            <wp:positionH relativeFrom="page">
              <wp:posOffset>685800</wp:posOffset>
            </wp:positionH>
            <wp:positionV relativeFrom="page">
              <wp:posOffset>542925</wp:posOffset>
            </wp:positionV>
            <wp:extent cx="6362700" cy="6172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extLst>
                    </a:blip>
                    <a:srcRect/>
                    <a:stretch>
                      <a:fillRect/>
                    </a:stretch>
                  </pic:blipFill>
                  <pic:spPr bwMode="auto">
                    <a:xfrm>
                      <a:off x="0" y="0"/>
                      <a:ext cx="6362700" cy="617220"/>
                    </a:xfrm>
                    <a:prstGeom prst="rect">
                      <a:avLst/>
                    </a:prstGeom>
                    <a:noFill/>
                  </pic:spPr>
                </pic:pic>
              </a:graphicData>
            </a:graphic>
          </wp:anchor>
        </w:drawing>
        <w:t>REPORT TO THE PLANNING COMMISSION</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00" w:lineRule="exact"/>
        <w:rPr>
          <w:sz w:val="24"/>
          <w:szCs w:val="24"/>
          <w:color w:val="auto"/>
        </w:rPr>
      </w:pPr>
    </w:p>
    <w:p>
      <w:pPr>
        <w:spacing w:after="0"/>
        <w:tabs>
          <w:tab w:leader="none" w:pos="2180" w:val="left"/>
        </w:tabs>
        <w:rPr>
          <w:sz w:val="20"/>
          <w:szCs w:val="20"/>
          <w:color w:val="auto"/>
        </w:rPr>
      </w:pPr>
      <w:r>
        <w:rPr>
          <w:rFonts w:ascii="Times New Roman" w:cs="Times New Roman" w:eastAsia="Times New Roman" w:hAnsi="Times New Roman"/>
          <w:sz w:val="24"/>
          <w:szCs w:val="24"/>
          <w:b w:val="1"/>
          <w:bCs w:val="1"/>
          <w:color w:val="auto"/>
        </w:rPr>
        <w:t>MEETING DATE:</w:t>
      </w:r>
      <w:r>
        <w:rPr>
          <w:sz w:val="20"/>
          <w:szCs w:val="20"/>
          <w:color w:val="auto"/>
        </w:rPr>
        <w:tab/>
      </w:r>
      <w:r>
        <w:rPr>
          <w:rFonts w:ascii="Times New Roman" w:cs="Times New Roman" w:eastAsia="Times New Roman" w:hAnsi="Times New Roman"/>
          <w:sz w:val="23"/>
          <w:szCs w:val="23"/>
          <w:color w:val="auto"/>
        </w:rPr>
        <w:t>March 5, 2026</w:t>
      </w:r>
    </w:p>
    <w:p>
      <w:pPr>
        <w:spacing w:after="0" w:line="240" w:lineRule="exact"/>
        <w:rPr>
          <w:sz w:val="24"/>
          <w:szCs w:val="24"/>
          <w:color w:val="auto"/>
        </w:rPr>
      </w:pPr>
    </w:p>
    <w:p>
      <w:pPr>
        <w:ind w:right="120"/>
        <w:spacing w:after="0" w:line="258" w:lineRule="auto"/>
        <w:rPr>
          <w:sz w:val="20"/>
          <w:szCs w:val="20"/>
          <w:color w:val="auto"/>
        </w:rPr>
      </w:pPr>
      <w:r>
        <w:rPr>
          <w:rFonts w:ascii="Times New Roman" w:cs="Times New Roman" w:eastAsia="Times New Roman" w:hAnsi="Times New Roman"/>
          <w:sz w:val="24"/>
          <w:szCs w:val="24"/>
          <w:b w:val="1"/>
          <w:bCs w:val="1"/>
          <w:color w:val="auto"/>
        </w:rPr>
        <w:t>SUBJECT:</w:t>
      </w:r>
      <w:r>
        <w:rPr>
          <w:rFonts w:ascii="Times New Roman" w:cs="Times New Roman" w:eastAsia="Times New Roman" w:hAnsi="Times New Roman"/>
          <w:sz w:val="24"/>
          <w:szCs w:val="24"/>
          <w:color w:val="auto"/>
        </w:rPr>
        <w:t xml:space="preserve"> Case #243874 - Price Farm PD, Area 2A, Parcel 1 McDonalds - Request Approval of a Preliminary Site Plan for a 4,300-Square Foot Restaurant to be Located at the Southeast Corner of East Shelby Drive and South Houston Levee Road.</w:t>
      </w:r>
    </w:p>
    <w:p>
      <w:pPr>
        <w:spacing w:after="0" w:line="178"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INTRODUCTION:</w:t>
      </w:r>
    </w:p>
    <w:p>
      <w:pPr>
        <w:spacing w:after="0" w:line="32" w:lineRule="exact"/>
        <w:rPr>
          <w:sz w:val="24"/>
          <w:szCs w:val="24"/>
          <w:color w:val="auto"/>
        </w:rPr>
      </w:pPr>
    </w:p>
    <w:p>
      <w:pPr>
        <w:jc w:val="both"/>
        <w:ind w:left="600" w:right="20"/>
        <w:spacing w:after="0"/>
        <w:rPr>
          <w:sz w:val="20"/>
          <w:szCs w:val="20"/>
          <w:color w:val="auto"/>
        </w:rPr>
      </w:pPr>
      <w:r>
        <w:rPr>
          <w:rFonts w:ascii="Times New Roman" w:cs="Times New Roman" w:eastAsia="Times New Roman" w:hAnsi="Times New Roman"/>
          <w:sz w:val="24"/>
          <w:szCs w:val="24"/>
          <w:color w:val="auto"/>
        </w:rPr>
        <w:t>Permit Solutions (Lynsey Jordan), on behalf of McDonald’s, is requesting recommendation of approval for a Preliminary Site Plan (see Exhibit 3).</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600"/>
        <w:spacing w:after="0"/>
        <w:rPr>
          <w:sz w:val="20"/>
          <w:szCs w:val="20"/>
          <w:color w:val="auto"/>
        </w:rPr>
      </w:pPr>
      <w:r>
        <w:rPr>
          <w:rFonts w:ascii="Times New Roman" w:cs="Times New Roman" w:eastAsia="Times New Roman" w:hAnsi="Times New Roman"/>
          <w:sz w:val="24"/>
          <w:szCs w:val="24"/>
          <w:color w:val="auto"/>
        </w:rPr>
        <w:t>The property is owned and managed by Jim Wilson &amp; Associates.</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-114935</wp:posOffset>
            </wp:positionV>
            <wp:extent cx="60960" cy="6096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rPr>
          <w:sz w:val="20"/>
          <w:szCs w:val="20"/>
          <w:color w:val="auto"/>
        </w:rPr>
      </w:pPr>
      <w:r>
        <w:rPr>
          <w:rFonts w:ascii="Times New Roman" w:cs="Times New Roman" w:eastAsia="Times New Roman" w:hAnsi="Times New Roman"/>
          <w:sz w:val="24"/>
          <w:szCs w:val="24"/>
          <w:color w:val="auto"/>
        </w:rPr>
        <w:t>The site is located on the east side of South Houston Levee Road and south of East Shelby Drive (see Exhibit 1).</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line="248" w:lineRule="auto"/>
        <w:rPr>
          <w:sz w:val="20"/>
          <w:szCs w:val="20"/>
          <w:color w:val="auto"/>
        </w:rPr>
      </w:pPr>
      <w:r>
        <w:rPr>
          <w:rFonts w:ascii="Times New Roman" w:cs="Times New Roman" w:eastAsia="Times New Roman" w:hAnsi="Times New Roman"/>
          <w:sz w:val="24"/>
          <w:szCs w:val="24"/>
          <w:color w:val="auto"/>
        </w:rPr>
        <w:t>The property, zoned R-1: Low Density Residential, is within the Price Farm Planned Development (PD).</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-302260</wp:posOffset>
            </wp:positionV>
            <wp:extent cx="60960" cy="6096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170"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BACKGROUND:</w:t>
      </w:r>
    </w:p>
    <w:p>
      <w:pPr>
        <w:spacing w:after="0" w:line="32" w:lineRule="exact"/>
        <w:rPr>
          <w:sz w:val="24"/>
          <w:szCs w:val="24"/>
          <w:color w:val="auto"/>
        </w:rPr>
      </w:pPr>
    </w:p>
    <w:p>
      <w:pPr>
        <w:ind w:left="600" w:right="40"/>
        <w:spacing w:after="0"/>
        <w:rPr>
          <w:sz w:val="20"/>
          <w:szCs w:val="20"/>
          <w:color w:val="auto"/>
        </w:rPr>
      </w:pPr>
      <w:r>
        <w:rPr>
          <w:rFonts w:ascii="Times New Roman" w:cs="Times New Roman" w:eastAsia="Times New Roman" w:hAnsi="Times New Roman"/>
          <w:sz w:val="24"/>
          <w:szCs w:val="24"/>
          <w:color w:val="auto"/>
        </w:rPr>
        <w:t>The property is within Area 2A of the Price Farm PD. Within Area 2A, the Outline Plan designates the area as “Village Core South”.</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rPr>
          <w:sz w:val="20"/>
          <w:szCs w:val="20"/>
          <w:color w:val="auto"/>
        </w:rPr>
      </w:pPr>
      <w:r>
        <w:rPr>
          <w:rFonts w:ascii="Times New Roman" w:cs="Times New Roman" w:eastAsia="Times New Roman" w:hAnsi="Times New Roman"/>
          <w:sz w:val="24"/>
          <w:szCs w:val="24"/>
          <w:color w:val="auto"/>
        </w:rPr>
        <w:t>The Outline Plan allows for any use permitted in the SCC: Shopping Center Commercial zoning district within Area 2A and a drive-through restaurant is allowed "by right" within the SCC zoning district.</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-465455</wp:posOffset>
            </wp:positionV>
            <wp:extent cx="60960" cy="6096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rPr>
          <w:sz w:val="20"/>
          <w:szCs w:val="20"/>
          <w:color w:val="auto"/>
        </w:rPr>
      </w:pPr>
      <w:r>
        <w:rPr>
          <w:rFonts w:ascii="Times New Roman" w:cs="Times New Roman" w:eastAsia="Times New Roman" w:hAnsi="Times New Roman"/>
          <w:sz w:val="24"/>
          <w:szCs w:val="24"/>
          <w:color w:val="auto"/>
        </w:rPr>
        <w:t>The applicant submitted a Preliminary Site Plan for staff review on November 14, 2024, and received staff comments on December 11, 2024. Changes were needed to the site layout to meet local parking standards and improve site circulation.</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-465455</wp:posOffset>
            </wp:positionV>
            <wp:extent cx="60960" cy="6096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right="20"/>
        <w:spacing w:after="0"/>
        <w:rPr>
          <w:sz w:val="20"/>
          <w:szCs w:val="20"/>
          <w:color w:val="auto"/>
        </w:rPr>
      </w:pPr>
      <w:r>
        <w:rPr>
          <w:rFonts w:ascii="Times New Roman" w:cs="Times New Roman" w:eastAsia="Times New Roman" w:hAnsi="Times New Roman"/>
          <w:sz w:val="24"/>
          <w:szCs w:val="24"/>
          <w:color w:val="auto"/>
        </w:rPr>
        <w:t>The applicant applied for a Board of Zoning Appeals (BZA) Variance to exceed the maximum parking limit on April 25, 2025; but the request was denied by the BZA, citing no physical hardship for the property.</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-465455</wp:posOffset>
            </wp:positionV>
            <wp:extent cx="60960" cy="6096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right="20"/>
        <w:spacing w:after="0" w:line="242" w:lineRule="auto"/>
        <w:rPr>
          <w:sz w:val="20"/>
          <w:szCs w:val="20"/>
          <w:color w:val="auto"/>
        </w:rPr>
      </w:pPr>
      <w:r>
        <w:rPr>
          <w:rFonts w:ascii="Times New Roman" w:cs="Times New Roman" w:eastAsia="Times New Roman" w:hAnsi="Times New Roman"/>
          <w:sz w:val="24"/>
          <w:szCs w:val="24"/>
          <w:color w:val="auto"/>
        </w:rPr>
        <w:t>The property owner applied for a Zoning Text Amendment (Ordinance 2025- 12) to amend the Town -wide parking requirements for restaurants to establish a different formula for the maximum limit; however, the Board of Mayor and Aldermen (BMA) denied the ordinance on the First Reading on October 27, 2025, over concerns about setting a new Town-wide formula.</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-646430</wp:posOffset>
            </wp:positionV>
            <wp:extent cx="60960" cy="6096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179"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KEY POINTS:</w:t>
      </w:r>
    </w:p>
    <w:p>
      <w:pPr>
        <w:spacing w:after="0" w:line="32" w:lineRule="exact"/>
        <w:rPr>
          <w:sz w:val="24"/>
          <w:szCs w:val="24"/>
          <w:color w:val="auto"/>
        </w:rPr>
      </w:pPr>
    </w:p>
    <w:p>
      <w:pPr>
        <w:ind w:left="420" w:hanging="420"/>
        <w:spacing w:after="0"/>
        <w:tabs>
          <w:tab w:leader="none" w:pos="420" w:val="left"/>
        </w:tabs>
        <w:numPr>
          <w:ilvl w:val="0"/>
          <w:numId w:val="1"/>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This restaurant is likely the first of several along East Shelby Drive (see Exhibits 3 &amp; 7).</w:t>
      </w:r>
    </w:p>
    <w:p>
      <w:pPr>
        <w:ind w:left="600" w:right="380"/>
        <w:spacing w:after="0"/>
        <w:rPr>
          <w:sz w:val="20"/>
          <w:szCs w:val="20"/>
          <w:color w:val="auto"/>
        </w:rPr>
      </w:pPr>
      <w:r>
        <w:rPr>
          <w:rFonts w:ascii="Times New Roman" w:cs="Times New Roman" w:eastAsia="Times New Roman" w:hAnsi="Times New Roman"/>
          <w:sz w:val="24"/>
          <w:szCs w:val="24"/>
          <w:color w:val="auto"/>
        </w:rPr>
        <w:t>Area 2A of the Price Farm PD is a 26.82-acre tract, known today as Carriage Crossing Market Place.</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600" w:right="80"/>
        <w:spacing w:after="0"/>
        <w:rPr>
          <w:sz w:val="20"/>
          <w:szCs w:val="20"/>
          <w:color w:val="auto"/>
        </w:rPr>
      </w:pPr>
      <w:r>
        <w:rPr>
          <w:rFonts w:ascii="Times New Roman" w:cs="Times New Roman" w:eastAsia="Times New Roman" w:hAnsi="Times New Roman"/>
          <w:sz w:val="24"/>
          <w:szCs w:val="24"/>
          <w:color w:val="auto"/>
        </w:rPr>
        <w:t>This area is envisioned as extension of the retail activity of Area 2 to the north. There are other outparcels available along East Shelby Drive, which are planned in the PD for uses such as retail, professional offices, or restaurants (sit-down or drive-through).</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-465455</wp:posOffset>
            </wp:positionV>
            <wp:extent cx="60960" cy="6096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right="280"/>
        <w:spacing w:after="0"/>
        <w:rPr>
          <w:sz w:val="20"/>
          <w:szCs w:val="20"/>
          <w:color w:val="auto"/>
        </w:rPr>
      </w:pPr>
      <w:r>
        <w:rPr>
          <w:rFonts w:ascii="Times New Roman" w:cs="Times New Roman" w:eastAsia="Times New Roman" w:hAnsi="Times New Roman"/>
          <w:sz w:val="24"/>
          <w:szCs w:val="24"/>
          <w:color w:val="auto"/>
        </w:rPr>
        <w:t>The building was re-orientated to maximize the building’s frontage along public streets, reduce the visibility of menu boards (per the Design Guidelines), and comply with Section II: General Guidelines for the Price Farm PD Outline Plan.</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-465455</wp:posOffset>
            </wp:positionV>
            <wp:extent cx="60960" cy="6096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600" w:right="600"/>
        <w:spacing w:after="0" w:line="244" w:lineRule="auto"/>
        <w:rPr>
          <w:sz w:val="20"/>
          <w:szCs w:val="20"/>
          <w:color w:val="auto"/>
        </w:rPr>
      </w:pPr>
      <w:r>
        <w:rPr>
          <w:rFonts w:ascii="Times New Roman" w:cs="Times New Roman" w:eastAsia="Times New Roman" w:hAnsi="Times New Roman"/>
          <w:sz w:val="24"/>
          <w:szCs w:val="24"/>
          <w:color w:val="auto"/>
        </w:rPr>
        <w:t>The development proposes 38 parking spaces based on a total of 78 indoor/outdoor seats. Eight (8) of those parking spaces are reserved for curbside pick-up and mobile delivery (see Exhibit 7, Page 11).</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-474345</wp:posOffset>
            </wp:positionV>
            <wp:extent cx="60960" cy="6096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extLst>
                    </a:blip>
                    <a:srcRect/>
                    <a:stretch>
                      <a:fillRect/>
                    </a:stretch>
                  </pic:blipFill>
                  <pic:spPr bwMode="auto">
                    <a:xfrm>
                      <a:off x="0" y="0"/>
                      <a:ext cx="60960" cy="60960"/>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-299085</wp:posOffset>
            </wp:positionV>
            <wp:extent cx="60960" cy="6096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ectPr>
          <w:pgSz w:w="12240" w:h="15840" w:orient="portrait"/>
          <w:cols w:equalWidth="0" w:num="1">
            <w:col w:w="10020"/>
          </w:cols>
          <w:pgMar w:left="1080" w:top="1173" w:right="1140" w:bottom="605" w:gutter="0" w:footer="0" w:header="0"/>
        </w:sectPr>
      </w:pPr>
    </w:p>
    <w:p>
      <w:pPr>
        <w:ind w:right="800"/>
        <w:spacing w:after="0" w:line="253" w:lineRule="auto"/>
        <w:tabs>
          <w:tab w:leader="none" w:pos="420" w:val="left"/>
        </w:tabs>
        <w:numPr>
          <w:ilvl w:val="0"/>
          <w:numId w:val="2"/>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Carriage Crossing Market Place will be considered a “Unified Development” after the pending Final Subdivision Plats are approved and recorded (see Exhibit 8, Page 6).</w:t>
      </w:r>
    </w:p>
    <w:p>
      <w:pPr>
        <w:spacing w:after="0" w:line="2" w:lineRule="exact"/>
        <w:rPr>
          <w:rFonts w:ascii="Times New Roman" w:cs="Times New Roman" w:eastAsia="Times New Roman" w:hAnsi="Times New Roman"/>
          <w:sz w:val="24"/>
          <w:szCs w:val="24"/>
          <w:b w:val="1"/>
          <w:bCs w:val="1"/>
          <w:color w:val="auto"/>
        </w:rPr>
      </w:pPr>
    </w:p>
    <w:p>
      <w:pPr>
        <w:ind w:left="60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Outparcels 1 and 2 of the Price Farm PD, Area 2A, are being developed as a unified development, which permits a site plan to be submitted as an aggregation of two (2) or more lots.</w:t>
      </w:r>
    </w:p>
    <w:p>
      <w:pPr>
        <w:ind w:left="600" w:right="32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Bulk requirements such as buffers, open space building setbacks, height and lot size, floor area ratio (FAR), etc. may be determined based on perimeter lot lines of a unified development,</w:t>
      </w:r>
    </w:p>
    <w:p>
      <w:pPr>
        <w:ind w:left="600"/>
        <w:spacing w:after="0"/>
        <w:rPr>
          <w:sz w:val="20"/>
          <w:szCs w:val="20"/>
          <w:color w:val="auto"/>
        </w:rPr>
      </w:pPr>
      <w:r>
        <w:rPr>
          <w:rFonts w:ascii="Times New Roman" w:cs="Times New Roman" w:eastAsia="Times New Roman" w:hAnsi="Times New Roman"/>
          <w:sz w:val="24"/>
          <w:szCs w:val="24"/>
          <w:color w:val="auto"/>
        </w:rPr>
        <w:t>regardless of the location, ownership, size or quantity of interior lots.</w:t>
      </w:r>
    </w:p>
    <w:p>
      <w:pPr>
        <w:ind w:left="600" w:right="160" w:firstLine="60"/>
        <w:spacing w:after="0" w:line="242" w:lineRule="auto"/>
        <w:rPr>
          <w:sz w:val="20"/>
          <w:szCs w:val="20"/>
          <w:color w:val="auto"/>
        </w:rPr>
      </w:pPr>
      <w:r>
        <w:rPr>
          <w:rFonts w:ascii="Times New Roman" w:cs="Times New Roman" w:eastAsia="Times New Roman" w:hAnsi="Times New Roman"/>
          <w:sz w:val="24"/>
          <w:szCs w:val="24"/>
          <w:color w:val="auto"/>
        </w:rPr>
        <w:t>Two (2) separate Final Subdivision Plats are currently under review by staff. One subdivision plat will create the 1.70-acre lot for the restaurant (see Exhibit 7), while the other will amend the existing plat for the remainder of the shopping center to add notes regarding the site being a “Unified Development” (see Exhibit 8). Neither plat will be decided by the approval of the Preliminary Site Plan, as they are being reviewed administratively.</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-823595</wp:posOffset>
            </wp:positionV>
            <wp:extent cx="60960" cy="6096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213" w:lineRule="exact"/>
        <w:rPr>
          <w:sz w:val="20"/>
          <w:szCs w:val="20"/>
          <w:color w:val="auto"/>
        </w:rPr>
      </w:pPr>
    </w:p>
    <w:p>
      <w:pPr>
        <w:ind w:right="60"/>
        <w:spacing w:after="0" w:line="253" w:lineRule="auto"/>
        <w:tabs>
          <w:tab w:leader="none" w:pos="420" w:val="left"/>
        </w:tabs>
        <w:numPr>
          <w:ilvl w:val="0"/>
          <w:numId w:val="3"/>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A drive-through restaurant on this outparcel is not expected to adversely impact the adjacent roadway network (see Exhibits 4 &amp; 9).</w:t>
      </w:r>
    </w:p>
    <w:p>
      <w:pPr>
        <w:spacing w:after="0" w:line="2" w:lineRule="exact"/>
        <w:rPr>
          <w:rFonts w:ascii="Times New Roman" w:cs="Times New Roman" w:eastAsia="Times New Roman" w:hAnsi="Times New Roman"/>
          <w:sz w:val="24"/>
          <w:szCs w:val="24"/>
          <w:b w:val="1"/>
          <w:bCs w:val="1"/>
          <w:color w:val="auto"/>
        </w:rPr>
      </w:pPr>
    </w:p>
    <w:p>
      <w:pPr>
        <w:ind w:left="600" w:right="58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property will have one driveway on East Shelby Drive and will share a driveway with a future development to the east (see Exhibit 7).</w:t>
      </w:r>
    </w:p>
    <w:p>
      <w:pPr>
        <w:ind w:left="600" w:right="16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Right-In/Right-Out driveway onto East Shelby Drive will have to be approved by the Tennessee Department of Transportation (TDOT). Westbound movements on East Shelby Drive will be prevented by the existing landscape median.</w:t>
      </w:r>
    </w:p>
    <w:p>
      <w:pPr>
        <w:ind w:left="600" w:right="52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There will be no direct access to South Houston Levee Road; however, the development will have access to the existing drive aisle to the south accessing South Houston Levee Road.</w:t>
      </w:r>
    </w:p>
    <w:p>
      <w:pPr>
        <w:ind w:left="600" w:right="58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Carriage Crossing Marketplace has an interconnected private drive network with access to a traffic signal onto East Shelby Drive, aligning with Carriage Crossing to the north.</w:t>
      </w:r>
    </w:p>
    <w:p>
      <w:pPr>
        <w:ind w:left="600" w:right="20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proposed development will generate 115 new AM Peak Hour trips, 144 new Mid-Day Peak Hour trips and 85 new PM Peak Hour trips.</w:t>
      </w:r>
    </w:p>
    <w:p>
      <w:pPr>
        <w:spacing w:after="0" w:line="234" w:lineRule="exact"/>
        <w:rPr>
          <w:rFonts w:ascii="Times New Roman" w:cs="Times New Roman" w:eastAsia="Times New Roman" w:hAnsi="Times New Roman"/>
          <w:sz w:val="24"/>
          <w:szCs w:val="24"/>
          <w:b w:val="1"/>
          <w:bCs w:val="1"/>
          <w:color w:val="auto"/>
        </w:rPr>
      </w:pPr>
    </w:p>
    <w:p>
      <w:pPr>
        <w:ind w:left="420" w:hanging="420"/>
        <w:spacing w:after="0"/>
        <w:tabs>
          <w:tab w:leader="none" w:pos="420" w:val="left"/>
        </w:tabs>
        <w:numPr>
          <w:ilvl w:val="0"/>
          <w:numId w:val="3"/>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There are no existing trees on the lot to be removed during development.</w:t>
      </w:r>
    </w:p>
    <w:p>
      <w:pPr>
        <w:spacing w:after="0" w:line="32" w:lineRule="exact"/>
        <w:rPr>
          <w:sz w:val="20"/>
          <w:szCs w:val="20"/>
          <w:color w:val="auto"/>
        </w:rPr>
      </w:pPr>
    </w:p>
    <w:p>
      <w:pPr>
        <w:jc w:val="both"/>
        <w:ind w:left="600" w:right="280"/>
        <w:spacing w:after="0"/>
        <w:rPr>
          <w:sz w:val="20"/>
          <w:szCs w:val="20"/>
          <w:color w:val="auto"/>
        </w:rPr>
      </w:pPr>
      <w:r>
        <w:rPr>
          <w:rFonts w:ascii="Times New Roman" w:cs="Times New Roman" w:eastAsia="Times New Roman" w:hAnsi="Times New Roman"/>
          <w:sz w:val="24"/>
          <w:szCs w:val="24"/>
          <w:color w:val="auto"/>
        </w:rPr>
        <w:t>There are existing street trees in a required landscape buffer along South Houston Levee Road and East Shelby Drive; however, those trees are on a separate lot and will not be maintained by McDonald’s (see Exhibit 7, Page 9).</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-465455</wp:posOffset>
            </wp:positionV>
            <wp:extent cx="60960" cy="6096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5">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600" w:right="320"/>
        <w:spacing w:after="0" w:line="248" w:lineRule="auto"/>
        <w:rPr>
          <w:sz w:val="20"/>
          <w:szCs w:val="20"/>
          <w:color w:val="auto"/>
        </w:rPr>
      </w:pPr>
      <w:r>
        <w:rPr>
          <w:rFonts w:ascii="Times New Roman" w:cs="Times New Roman" w:eastAsia="Times New Roman" w:hAnsi="Times New Roman"/>
          <w:sz w:val="24"/>
          <w:szCs w:val="24"/>
          <w:color w:val="auto"/>
        </w:rPr>
        <w:t>The site plan will meet or exceed the minimum requirement of 34 trees for a commercial lot of this size.</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-302260</wp:posOffset>
            </wp:positionV>
            <wp:extent cx="60960" cy="6096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206" w:lineRule="exact"/>
        <w:rPr>
          <w:sz w:val="20"/>
          <w:szCs w:val="20"/>
          <w:color w:val="auto"/>
        </w:rPr>
      </w:pPr>
    </w:p>
    <w:p>
      <w:pPr>
        <w:ind w:left="360" w:hanging="360"/>
        <w:spacing w:after="0"/>
        <w:tabs>
          <w:tab w:leader="none" w:pos="360" w:val="left"/>
        </w:tabs>
        <w:numPr>
          <w:ilvl w:val="0"/>
          <w:numId w:val="4"/>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On-site stormwater detention is not required (see Exhibit 5).</w:t>
      </w:r>
    </w:p>
    <w:p>
      <w:pPr>
        <w:spacing w:after="0" w:line="32" w:lineRule="exact"/>
        <w:rPr>
          <w:rFonts w:ascii="Times New Roman" w:cs="Times New Roman" w:eastAsia="Times New Roman" w:hAnsi="Times New Roman"/>
          <w:sz w:val="24"/>
          <w:szCs w:val="24"/>
          <w:b w:val="1"/>
          <w:bCs w:val="1"/>
          <w:color w:val="auto"/>
        </w:rPr>
      </w:pPr>
    </w:p>
    <w:p>
      <w:pPr>
        <w:ind w:left="600" w:right="8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7">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Existing drainage on the site generally flows from south to north and discharges into an existing stormwater structure located in the northeast corner of the property. Additional runoff is captured by existing curb inlets along South Houston Levee Road and East Shelby Drive.</w:t>
      </w:r>
    </w:p>
    <w:p>
      <w:pPr>
        <w:ind w:left="600" w:right="14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8">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Post-development, stormwater runoff will be collected by new inlets and piping and conveyed to the existing stormwater structure in the northeast corner of the site.</w:t>
      </w:r>
    </w:p>
    <w:p>
      <w:pPr>
        <w:spacing w:after="0" w:line="234" w:lineRule="exact"/>
        <w:rPr>
          <w:rFonts w:ascii="Times New Roman" w:cs="Times New Roman" w:eastAsia="Times New Roman" w:hAnsi="Times New Roman"/>
          <w:sz w:val="24"/>
          <w:szCs w:val="24"/>
          <w:b w:val="1"/>
          <w:bCs w:val="1"/>
          <w:color w:val="auto"/>
        </w:rPr>
      </w:pPr>
    </w:p>
    <w:p>
      <w:pPr>
        <w:ind w:right="820"/>
        <w:spacing w:after="0" w:line="276" w:lineRule="auto"/>
        <w:tabs>
          <w:tab w:leader="none" w:pos="420" w:val="left"/>
        </w:tabs>
        <w:numPr>
          <w:ilvl w:val="0"/>
          <w:numId w:val="4"/>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Adequate water and sewer capacity exists for this development per the Public Utilities Department.</w:t>
      </w:r>
    </w:p>
    <w:p>
      <w:pPr>
        <w:spacing w:after="0" w:line="193" w:lineRule="exact"/>
        <w:rPr>
          <w:sz w:val="20"/>
          <w:szCs w:val="20"/>
          <w:color w:val="auto"/>
        </w:rPr>
      </w:pPr>
    </w:p>
    <w:p>
      <w:pPr>
        <w:jc w:val="both"/>
        <w:ind w:right="360"/>
        <w:spacing w:after="0" w:line="258" w:lineRule="auto"/>
        <w:rPr>
          <w:sz w:val="20"/>
          <w:szCs w:val="20"/>
          <w:color w:val="auto"/>
        </w:rPr>
      </w:pPr>
      <w:r>
        <w:rPr>
          <w:rFonts w:ascii="Times New Roman" w:cs="Times New Roman" w:eastAsia="Times New Roman" w:hAnsi="Times New Roman"/>
          <w:sz w:val="24"/>
          <w:szCs w:val="24"/>
          <w:b w:val="1"/>
          <w:bCs w:val="1"/>
          <w:color w:val="auto"/>
        </w:rPr>
        <w:t>STAFF RECOMMENDATION:</w:t>
      </w:r>
      <w:r>
        <w:rPr>
          <w:rFonts w:ascii="Times New Roman" w:cs="Times New Roman" w:eastAsia="Times New Roman" w:hAnsi="Times New Roman"/>
          <w:sz w:val="24"/>
          <w:szCs w:val="24"/>
          <w:color w:val="auto"/>
        </w:rPr>
        <w:t xml:space="preserve"> Staff recommends approval of the Preliminary Site Plan because, with the conditions of approval, the site will be consistent with the Zoning Regulations and the Price Farm PD.</w:t>
      </w:r>
    </w:p>
    <w:p>
      <w:pPr>
        <w:spacing w:after="0" w:line="178"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ATTACHMENTS:</w:t>
      </w:r>
    </w:p>
    <w:p>
      <w:pPr>
        <w:sectPr>
          <w:pgSz w:w="12240" w:h="15840" w:orient="portrait"/>
          <w:cols w:equalWidth="0" w:num="1">
            <w:col w:w="10020"/>
          </w:cols>
          <w:pgMar w:left="1080" w:top="1101" w:right="1140" w:bottom="686" w:gutter="0" w:footer="0" w:header="0"/>
        </w:sectPr>
      </w:pPr>
    </w:p>
    <w:p>
      <w:pPr>
        <w:spacing w:after="0"/>
        <w:rPr>
          <w:rFonts w:ascii="Times New Roman" w:cs="Times New Roman" w:eastAsia="Times New Roman" w:hAnsi="Times New Roman"/>
          <w:sz w:val="24"/>
          <w:szCs w:val="24"/>
          <w:color w:val="0000EE"/>
        </w:rPr>
      </w:pPr>
      <w:hyperlink r:id="rId39">
        <w:r>
          <w:rPr>
            <w:rFonts w:ascii="Times New Roman" w:cs="Times New Roman" w:eastAsia="Times New Roman" w:hAnsi="Times New Roman"/>
            <w:sz w:val="24"/>
            <w:szCs w:val="24"/>
            <w:color w:val="0000EE"/>
          </w:rPr>
          <w:t>Exhibit 1 Vicinity Map &amp; Contact Information 2.17.26.pdf</w:t>
        </w:r>
      </w:hyperlink>
    </w:p>
    <w:p>
      <w:pPr>
        <w:spacing w:after="0" w:line="26" w:lineRule="exact"/>
        <w:rPr>
          <w:sz w:val="20"/>
          <w:szCs w:val="20"/>
          <w:color w:val="auto"/>
        </w:rPr>
      </w:pPr>
    </w:p>
    <w:p>
      <w:pPr>
        <w:spacing w:after="0"/>
        <w:rPr>
          <w:rFonts w:ascii="Times New Roman" w:cs="Times New Roman" w:eastAsia="Times New Roman" w:hAnsi="Times New Roman"/>
          <w:sz w:val="24"/>
          <w:szCs w:val="24"/>
          <w:color w:val="0000EE"/>
        </w:rPr>
      </w:pPr>
      <w:hyperlink r:id="rId40">
        <w:r>
          <w:rPr>
            <w:rFonts w:ascii="Times New Roman" w:cs="Times New Roman" w:eastAsia="Times New Roman" w:hAnsi="Times New Roman"/>
            <w:sz w:val="24"/>
            <w:szCs w:val="24"/>
            <w:color w:val="0000EE"/>
          </w:rPr>
          <w:t>Exhibit 2 Conditions of Approval 2.27.26.pdf</w:t>
        </w:r>
      </w:hyperlink>
    </w:p>
    <w:p>
      <w:pPr>
        <w:spacing w:after="0"/>
        <w:rPr>
          <w:rFonts w:ascii="Times New Roman" w:cs="Times New Roman" w:eastAsia="Times New Roman" w:hAnsi="Times New Roman"/>
          <w:sz w:val="24"/>
          <w:szCs w:val="24"/>
          <w:color w:val="0000EE"/>
        </w:rPr>
      </w:pPr>
      <w:hyperlink r:id="rId41">
        <w:r>
          <w:rPr>
            <w:rFonts w:ascii="Times New Roman" w:cs="Times New Roman" w:eastAsia="Times New Roman" w:hAnsi="Times New Roman"/>
            <w:sz w:val="24"/>
            <w:szCs w:val="24"/>
            <w:color w:val="0000EE"/>
          </w:rPr>
          <w:t>Exhibit 3 Cover Letter 1.26.26.pdf</w:t>
        </w:r>
      </w:hyperlink>
    </w:p>
    <w:p>
      <w:pPr>
        <w:spacing w:after="0"/>
        <w:rPr>
          <w:rFonts w:ascii="Times New Roman" w:cs="Times New Roman" w:eastAsia="Times New Roman" w:hAnsi="Times New Roman"/>
          <w:sz w:val="24"/>
          <w:szCs w:val="24"/>
          <w:color w:val="0000EE"/>
        </w:rPr>
      </w:pPr>
      <w:hyperlink r:id="rId42">
        <w:r>
          <w:rPr>
            <w:rFonts w:ascii="Times New Roman" w:cs="Times New Roman" w:eastAsia="Times New Roman" w:hAnsi="Times New Roman"/>
            <w:sz w:val="24"/>
            <w:szCs w:val="24"/>
            <w:color w:val="0000EE"/>
          </w:rPr>
          <w:t>Exhibit 4 Traffic Impact Study 9.5.25.pdf</w:t>
        </w:r>
      </w:hyperlink>
    </w:p>
    <w:p>
      <w:pPr>
        <w:spacing w:after="0"/>
        <w:rPr>
          <w:rFonts w:ascii="Times New Roman" w:cs="Times New Roman" w:eastAsia="Times New Roman" w:hAnsi="Times New Roman"/>
          <w:sz w:val="24"/>
          <w:szCs w:val="24"/>
          <w:color w:val="0000EE"/>
        </w:rPr>
      </w:pPr>
      <w:hyperlink r:id="rId43">
        <w:r>
          <w:rPr>
            <w:rFonts w:ascii="Times New Roman" w:cs="Times New Roman" w:eastAsia="Times New Roman" w:hAnsi="Times New Roman"/>
            <w:sz w:val="24"/>
            <w:szCs w:val="24"/>
            <w:color w:val="0000EE"/>
          </w:rPr>
          <w:t>Exhibit 5 Drainage Narrative 9.26.25.pdf</w:t>
        </w:r>
      </w:hyperlink>
    </w:p>
    <w:p>
      <w:pPr>
        <w:spacing w:after="0"/>
        <w:rPr>
          <w:rFonts w:ascii="Times New Roman" w:cs="Times New Roman" w:eastAsia="Times New Roman" w:hAnsi="Times New Roman"/>
          <w:sz w:val="24"/>
          <w:szCs w:val="24"/>
          <w:color w:val="0000EE"/>
        </w:rPr>
      </w:pPr>
      <w:hyperlink r:id="rId44">
        <w:r>
          <w:rPr>
            <w:rFonts w:ascii="Times New Roman" w:cs="Times New Roman" w:eastAsia="Times New Roman" w:hAnsi="Times New Roman"/>
            <w:sz w:val="24"/>
            <w:szCs w:val="24"/>
            <w:color w:val="0000EE"/>
          </w:rPr>
          <w:t>Exhibit 6 Color Plans 1.27.26.pdf</w:t>
        </w:r>
      </w:hyperlink>
    </w:p>
    <w:p>
      <w:pPr>
        <w:spacing w:after="0"/>
        <w:rPr>
          <w:rFonts w:ascii="Times New Roman" w:cs="Times New Roman" w:eastAsia="Times New Roman" w:hAnsi="Times New Roman"/>
          <w:sz w:val="24"/>
          <w:szCs w:val="24"/>
          <w:color w:val="0000EE"/>
        </w:rPr>
      </w:pPr>
      <w:hyperlink r:id="rId45">
        <w:r>
          <w:rPr>
            <w:rFonts w:ascii="Times New Roman" w:cs="Times New Roman" w:eastAsia="Times New Roman" w:hAnsi="Times New Roman"/>
            <w:sz w:val="24"/>
            <w:szCs w:val="24"/>
            <w:color w:val="0000EE"/>
          </w:rPr>
          <w:t>Exhibit 7 Preliminary Site Plan 1.27.26.pdf</w:t>
        </w:r>
      </w:hyperlink>
    </w:p>
    <w:p>
      <w:pPr>
        <w:spacing w:after="0"/>
        <w:rPr>
          <w:rFonts w:ascii="Times New Roman" w:cs="Times New Roman" w:eastAsia="Times New Roman" w:hAnsi="Times New Roman"/>
          <w:sz w:val="24"/>
          <w:szCs w:val="24"/>
          <w:color w:val="0000EE"/>
        </w:rPr>
      </w:pPr>
      <w:hyperlink r:id="rId46">
        <w:r>
          <w:rPr>
            <w:rFonts w:ascii="Times New Roman" w:cs="Times New Roman" w:eastAsia="Times New Roman" w:hAnsi="Times New Roman"/>
            <w:sz w:val="24"/>
            <w:szCs w:val="24"/>
            <w:color w:val="0000EE"/>
          </w:rPr>
          <w:t>Exhibit 8 Unified Development Final Subdivision Plat 2.12.26.pdf</w:t>
        </w:r>
      </w:hyperlink>
    </w:p>
    <w:p>
      <w:pPr>
        <w:spacing w:after="0"/>
        <w:rPr>
          <w:rFonts w:ascii="Times New Roman" w:cs="Times New Roman" w:eastAsia="Times New Roman" w:hAnsi="Times New Roman"/>
          <w:sz w:val="24"/>
          <w:szCs w:val="24"/>
          <w:color w:val="0000EE"/>
        </w:rPr>
      </w:pPr>
      <w:hyperlink r:id="rId47">
        <w:r>
          <w:rPr>
            <w:rFonts w:ascii="Times New Roman" w:cs="Times New Roman" w:eastAsia="Times New Roman" w:hAnsi="Times New Roman"/>
            <w:sz w:val="24"/>
            <w:szCs w:val="24"/>
            <w:color w:val="0000EE"/>
          </w:rPr>
          <w:t>Exhibit 9 Response to Traffic Impact Analysis Comments 1.16.25.pdf</w:t>
        </w:r>
      </w:hyperlink>
    </w:p>
    <w:p>
      <w:pPr>
        <w:spacing w:after="0" w:line="244" w:lineRule="exact"/>
        <w:rPr>
          <w:sz w:val="20"/>
          <w:szCs w:val="20"/>
          <w:color w:val="auto"/>
        </w:rPr>
      </w:pPr>
    </w:p>
    <w:p>
      <w:pPr>
        <w:spacing w:after="0" w:line="258" w:lineRule="auto"/>
        <w:rPr>
          <w:sz w:val="20"/>
          <w:szCs w:val="20"/>
          <w:color w:val="auto"/>
        </w:rPr>
      </w:pPr>
      <w:r>
        <w:rPr>
          <w:rFonts w:ascii="Times New Roman" w:cs="Times New Roman" w:eastAsia="Times New Roman" w:hAnsi="Times New Roman"/>
          <w:sz w:val="24"/>
          <w:szCs w:val="24"/>
          <w:b w:val="1"/>
          <w:bCs w:val="1"/>
          <w:color w:val="auto"/>
        </w:rPr>
        <w:t>PROPOSED MOTION:</w:t>
      </w:r>
      <w:r>
        <w:rPr>
          <w:rFonts w:ascii="Times New Roman" w:cs="Times New Roman" w:eastAsia="Times New Roman" w:hAnsi="Times New Roman"/>
          <w:sz w:val="24"/>
          <w:szCs w:val="24"/>
          <w:color w:val="auto"/>
        </w:rPr>
        <w:t xml:space="preserve"> To recommend the BMA approve a Preliminary Site Plan for a 4,300 square-foot restaurant on the southeast corner of S. Houston Levee Road and E. Shelby Drive, subject to the conditions in Exhibit 2.</w:t>
      </w:r>
    </w:p>
    <w:sectPr>
      <w:pgSz w:w="12240" w:h="15840" w:orient="portrait"/>
      <w:cols w:equalWidth="0" w:num="1">
        <w:col w:w="9940"/>
      </w:cols>
      <w:pgMar w:left="1080" w:top="831" w:right="1220" w:bottom="1440"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http://schemas.openxmlformats.org/wordprocessingml/2006/main">
  <w:abstractNum w:abstractNumId="0">
    <w:nsid w:val="1649"/>
    <w:multiLevelType w:val="hybridMultilevel"/>
    <w:lvl w:ilvl="0">
      <w:lvlJc w:val="left"/>
      <w:lvlText w:val="%1."/>
      <w:numFmt w:val="decimal"/>
      <w:start w:val="1"/>
    </w:lvl>
  </w:abstractNum>
  <w:abstractNum w:abstractNumId="1">
    <w:nsid w:val="6DF1"/>
    <w:multiLevelType w:val="hybridMultilevel"/>
    <w:lvl w:ilvl="0">
      <w:lvlJc w:val="left"/>
      <w:lvlText w:val="%1."/>
      <w:numFmt w:val="decimal"/>
      <w:start w:val="2"/>
    </w:lvl>
  </w:abstractNum>
  <w:abstractNum w:abstractNumId="2">
    <w:nsid w:val="5AF1"/>
    <w:multiLevelType w:val="hybridMultilevel"/>
    <w:lvl w:ilvl="0">
      <w:lvlJc w:val="left"/>
      <w:lvlText w:val="%1."/>
      <w:numFmt w:val="decimal"/>
      <w:start w:val="3"/>
    </w:lvl>
  </w:abstractNum>
  <w:abstractNum w:abstractNumId="3">
    <w:nsid w:val="41BB"/>
    <w:multiLevelType w:val="hybridMultilevel"/>
    <w:lvl w:ilvl="0">
      <w:lvlJc w:val="left"/>
      <w:lvlText w:val="%1."/>
      <w:numFmt w:val="decimal"/>
      <w:start w:val="5"/>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webSettings" Target="webSettings.xml"/><Relationship Id="rId11" Type="http://schemas.openxmlformats.org/officeDocument/2006/relationships/numbering" Target="numbering.xml"/><Relationship Id="rId12" Type="http://schemas.openxmlformats.org/officeDocument/2006/relationships/image" Target="media/image1.png"/><Relationship Id="rId13" Type="http://schemas.openxmlformats.org/officeDocument/2006/relationships/image" Target="media/image2.png"/><Relationship Id="rId14" Type="http://schemas.openxmlformats.org/officeDocument/2006/relationships/image" Target="media/image3.png"/><Relationship Id="rId15" Type="http://schemas.openxmlformats.org/officeDocument/2006/relationships/image" Target="media/image4.png"/><Relationship Id="rId16" Type="http://schemas.openxmlformats.org/officeDocument/2006/relationships/image" Target="media/image5.png"/><Relationship Id="rId17" Type="http://schemas.openxmlformats.org/officeDocument/2006/relationships/image" Target="media/image6.png"/><Relationship Id="rId18" Type="http://schemas.openxmlformats.org/officeDocument/2006/relationships/image" Target="media/image7.png"/><Relationship Id="rId19" Type="http://schemas.openxmlformats.org/officeDocument/2006/relationships/image" Target="media/image8.png"/><Relationship Id="rId20" Type="http://schemas.openxmlformats.org/officeDocument/2006/relationships/image" Target="media/image9.png"/><Relationship Id="rId21" Type="http://schemas.openxmlformats.org/officeDocument/2006/relationships/image" Target="media/image10.png"/><Relationship Id="rId22" Type="http://schemas.openxmlformats.org/officeDocument/2006/relationships/image" Target="media/image11.png"/><Relationship Id="rId23" Type="http://schemas.openxmlformats.org/officeDocument/2006/relationships/image" Target="media/image12.png"/><Relationship Id="rId24" Type="http://schemas.openxmlformats.org/officeDocument/2006/relationships/image" Target="media/image13.png"/><Relationship Id="rId25" Type="http://schemas.openxmlformats.org/officeDocument/2006/relationships/image" Target="media/image14.png"/><Relationship Id="rId26" Type="http://schemas.openxmlformats.org/officeDocument/2006/relationships/image" Target="media/image15.png"/><Relationship Id="rId27" Type="http://schemas.openxmlformats.org/officeDocument/2006/relationships/image" Target="media/image16.png"/><Relationship Id="rId28" Type="http://schemas.openxmlformats.org/officeDocument/2006/relationships/image" Target="media/image17.png"/><Relationship Id="rId29" Type="http://schemas.openxmlformats.org/officeDocument/2006/relationships/image" Target="media/image18.png"/><Relationship Id="rId30" Type="http://schemas.openxmlformats.org/officeDocument/2006/relationships/image" Target="media/image19.png"/><Relationship Id="rId31" Type="http://schemas.openxmlformats.org/officeDocument/2006/relationships/image" Target="media/image20.png"/><Relationship Id="rId32" Type="http://schemas.openxmlformats.org/officeDocument/2006/relationships/image" Target="media/image21.png"/><Relationship Id="rId33" Type="http://schemas.openxmlformats.org/officeDocument/2006/relationships/image" Target="media/image22.png"/><Relationship Id="rId34" Type="http://schemas.openxmlformats.org/officeDocument/2006/relationships/image" Target="media/image23.png"/><Relationship Id="rId35" Type="http://schemas.openxmlformats.org/officeDocument/2006/relationships/image" Target="media/image24.png"/><Relationship Id="rId36" Type="http://schemas.openxmlformats.org/officeDocument/2006/relationships/image" Target="media/image25.png"/><Relationship Id="rId37" Type="http://schemas.openxmlformats.org/officeDocument/2006/relationships/image" Target="media/image26.png"/><Relationship Id="rId38" Type="http://schemas.openxmlformats.org/officeDocument/2006/relationships/image" Target="media/image27.png"/><Relationship Id="rId39" Type="http://schemas.openxmlformats.org/officeDocument/2006/relationships/hyperlink" Target="https://legistarweb-production.s3.amazonaws.com/uploads/attachment/pdf/3942885/Exhibit_1_Vicinity_Map___Contact_Information_2.17.26.pdf" TargetMode="External"/><Relationship Id="rId40" Type="http://schemas.openxmlformats.org/officeDocument/2006/relationships/hyperlink" Target="https://legistarweb-production.s3.amazonaws.com/uploads/attachment/pdf/3943033/Exhibit_2_Conditions_of_Approval_2.27.26.pdf" TargetMode="External"/><Relationship Id="rId41" Type="http://schemas.openxmlformats.org/officeDocument/2006/relationships/hyperlink" Target="https://legistarweb-production.s3.amazonaws.com/uploads/attachment/pdf/3942886/Exhibit_3_Cover_Letter_1.26.26.pdf" TargetMode="External"/><Relationship Id="rId42" Type="http://schemas.openxmlformats.org/officeDocument/2006/relationships/hyperlink" Target="https://legistarweb-production.s3.amazonaws.com/uploads/attachment/pdf/3944051/Exhibit_4_Traffic_Impact_Study_9.5.25.pdf" TargetMode="External"/><Relationship Id="rId43" Type="http://schemas.openxmlformats.org/officeDocument/2006/relationships/hyperlink" Target="https://legistarweb-production.s3.amazonaws.com/uploads/attachment/pdf/3942888/Exhibit_5_Drainage_Narrative_9.26.25.pdf" TargetMode="External"/><Relationship Id="rId44" Type="http://schemas.openxmlformats.org/officeDocument/2006/relationships/hyperlink" Target="https://legistarweb-production.s3.amazonaws.com/uploads/attachment/pdf/3942896/Exhibit_6_Color_Plans_1.27.26.pdf" TargetMode="External"/><Relationship Id="rId45" Type="http://schemas.openxmlformats.org/officeDocument/2006/relationships/hyperlink" Target="https://legistarweb-production.s3.amazonaws.com/uploads/attachment/pdf/3942900/Exhibit_7_Preliminary_Site_Plan_1.27.26.pdf" TargetMode="External"/><Relationship Id="rId46" Type="http://schemas.openxmlformats.org/officeDocument/2006/relationships/hyperlink" Target="https://legistarweb-production.s3.amazonaws.com/uploads/attachment/pdf/3942901/Exhibit_8_Unified_Development_Final_Subdivision_Plat_2.12.26.pdf" TargetMode="External"/><Relationship Id="rId47" Type="http://schemas.openxmlformats.org/officeDocument/2006/relationships/hyperlink" Target="https://legistarweb-production.s3.amazonaws.com/uploads/attachment/pdf/3944052/Exhibit_9_Response_to_Traffic_Impact_Analysis_Comments_1.16.25.pdf" TargetMode="Externa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2026-02-27T16:32:46Z</dcterms:created>
  <dcterms:modified xsi:type="dcterms:W3CDTF">2026-02-27T16:32:46Z</dcterms:modified>
</cp:coreProperties>
</file>