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p>
      <w:pPr>
        <w:jc w:val="center"/>
        <w:spacing w:after="0"/>
        <w:rPr>
          <w:sz w:val="20"/>
          <w:szCs w:val="20"/>
          <w:color w:val="auto"/>
        </w:rPr>
      </w:pPr>
      <w:r>
        <w:rPr>
          <w:rFonts w:ascii="Times New Roman" w:cs="Times New Roman" w:eastAsia="Times New Roman" w:hAnsi="Times New Roman"/>
          <w:sz w:val="24"/>
          <w:szCs w:val="24"/>
          <w:b w:val="1"/>
          <w:bCs w:val="1"/>
          <w:color w:val="auto"/>
        </w:rPr>
        <w:drawing>
          <wp:anchor simplePos="0" relativeHeight="251657728" behindDoc="1" locked="0" layoutInCell="0" allowOverlap="1">
            <wp:simplePos x="0" y="0"/>
            <wp:positionH relativeFrom="page">
              <wp:posOffset>685800</wp:posOffset>
            </wp:positionH>
            <wp:positionV relativeFrom="page">
              <wp:posOffset>542925</wp:posOffset>
            </wp:positionV>
            <wp:extent cx="6362700" cy="6172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extLst>
                    </a:blip>
                    <a:srcRect/>
                    <a:stretch>
                      <a:fillRect/>
                    </a:stretch>
                  </pic:blipFill>
                  <pic:spPr bwMode="auto">
                    <a:xfrm>
                      <a:off x="0" y="0"/>
                      <a:ext cx="6362700" cy="617220"/>
                    </a:xfrm>
                    <a:prstGeom prst="rect">
                      <a:avLst/>
                    </a:prstGeom>
                    <a:noFill/>
                  </pic:spPr>
                </pic:pic>
              </a:graphicData>
            </a:graphic>
          </wp:anchor>
        </w:drawing>
        <w:t>REPORT TO THE HISTORIC DISTRICT COMMISSION</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00" w:lineRule="exact"/>
        <w:rPr>
          <w:sz w:val="24"/>
          <w:szCs w:val="24"/>
          <w:color w:val="auto"/>
        </w:rPr>
      </w:pPr>
    </w:p>
    <w:p>
      <w:pPr>
        <w:spacing w:after="0"/>
        <w:tabs>
          <w:tab w:leader="none" w:pos="1480" w:val="left"/>
        </w:tabs>
        <w:rPr>
          <w:sz w:val="20"/>
          <w:szCs w:val="20"/>
          <w:color w:val="auto"/>
        </w:rPr>
      </w:pPr>
      <w:r>
        <w:rPr>
          <w:rFonts w:ascii="Times New Roman" w:cs="Times New Roman" w:eastAsia="Times New Roman" w:hAnsi="Times New Roman"/>
          <w:sz w:val="24"/>
          <w:szCs w:val="24"/>
          <w:b w:val="1"/>
          <w:bCs w:val="1"/>
          <w:color w:val="auto"/>
        </w:rPr>
        <w:t>DATE:</w:t>
      </w:r>
      <w:r>
        <w:rPr>
          <w:sz w:val="20"/>
          <w:szCs w:val="20"/>
          <w:color w:val="auto"/>
        </w:rPr>
        <w:tab/>
      </w:r>
      <w:r>
        <w:rPr>
          <w:rFonts w:ascii="Times New Roman" w:cs="Times New Roman" w:eastAsia="Times New Roman" w:hAnsi="Times New Roman"/>
          <w:sz w:val="24"/>
          <w:szCs w:val="24"/>
          <w:color w:val="auto"/>
        </w:rPr>
        <w:t>June 25, 2026</w:t>
      </w:r>
    </w:p>
    <w:p>
      <w:pPr>
        <w:spacing w:after="0" w:line="240" w:lineRule="exact"/>
        <w:rPr>
          <w:sz w:val="24"/>
          <w:szCs w:val="24"/>
          <w:color w:val="auto"/>
        </w:rPr>
      </w:pPr>
    </w:p>
    <w:p>
      <w:pPr>
        <w:ind w:left="1500" w:right="1040" w:hanging="1499"/>
        <w:spacing w:after="0" w:line="255" w:lineRule="auto"/>
        <w:tabs>
          <w:tab w:leader="none" w:pos="1480" w:val="left"/>
        </w:tabs>
        <w:rPr>
          <w:sz w:val="20"/>
          <w:szCs w:val="20"/>
          <w:color w:val="auto"/>
        </w:rPr>
      </w:pPr>
      <w:r>
        <w:rPr>
          <w:rFonts w:ascii="Times New Roman" w:cs="Times New Roman" w:eastAsia="Times New Roman" w:hAnsi="Times New Roman"/>
          <w:sz w:val="24"/>
          <w:szCs w:val="24"/>
          <w:b w:val="1"/>
          <w:bCs w:val="1"/>
          <w:color w:val="auto"/>
        </w:rPr>
        <w:t>SUBJECT:</w:t>
      </w:r>
      <w:r>
        <w:rPr>
          <w:sz w:val="20"/>
          <w:szCs w:val="20"/>
          <w:color w:val="auto"/>
        </w:rPr>
        <w:tab/>
      </w:r>
      <w:r>
        <w:rPr>
          <w:rFonts w:ascii="Times New Roman" w:cs="Times New Roman" w:eastAsia="Times New Roman" w:hAnsi="Times New Roman"/>
          <w:sz w:val="24"/>
          <w:szCs w:val="24"/>
          <w:color w:val="auto"/>
        </w:rPr>
        <w:t>Case #261402 - Oakwood Subdivision, Phase 2, Lot 1 - Request for Approval of a Certificate of Appropriateness for single-family dwelling located at 270 Ellawood Lane.</w:t>
      </w:r>
    </w:p>
    <w:p>
      <w:pPr>
        <w:spacing w:after="0" w:line="200" w:lineRule="exact"/>
        <w:rPr>
          <w:sz w:val="24"/>
          <w:szCs w:val="24"/>
          <w:color w:val="auto"/>
        </w:rPr>
      </w:pPr>
    </w:p>
    <w:p>
      <w:pPr>
        <w:spacing w:after="0" w:line="264"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INTRODUCTION:</w:t>
      </w:r>
    </w:p>
    <w:p>
      <w:pPr>
        <w:spacing w:after="0" w:line="32" w:lineRule="exact"/>
        <w:rPr>
          <w:sz w:val="24"/>
          <w:szCs w:val="24"/>
          <w:color w:val="auto"/>
        </w:rPr>
      </w:pPr>
    </w:p>
    <w:p>
      <w:pPr>
        <w:ind w:left="600" w:right="20"/>
        <w:spacing w:after="0"/>
        <w:rPr>
          <w:sz w:val="20"/>
          <w:szCs w:val="20"/>
          <w:color w:val="auto"/>
        </w:rPr>
      </w:pPr>
      <w:r>
        <w:rPr>
          <w:rFonts w:ascii="Times New Roman" w:cs="Times New Roman" w:eastAsia="Times New Roman" w:hAnsi="Times New Roman"/>
          <w:sz w:val="24"/>
          <w:szCs w:val="24"/>
          <w:color w:val="auto"/>
        </w:rPr>
        <w:t>Property owner Davie Ritchie is requesting a Certificate of Appropriateness (CofA) for a new dwelling located on the north side Ellawood Lane (see Exhibits 3 &amp; 8).</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spacing w:after="0"/>
        <w:rPr>
          <w:sz w:val="20"/>
          <w:szCs w:val="20"/>
          <w:color w:val="auto"/>
        </w:rPr>
      </w:pPr>
      <w:r>
        <w:rPr>
          <w:rFonts w:ascii="Times New Roman" w:cs="Times New Roman" w:eastAsia="Times New Roman" w:hAnsi="Times New Roman"/>
          <w:sz w:val="24"/>
          <w:szCs w:val="24"/>
          <w:color w:val="auto"/>
        </w:rPr>
        <w:t>The 0.66-acre property is zoned R-1: Low Density Residential and is surrounded by other R-1</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-114935</wp:posOffset>
            </wp:positionV>
            <wp:extent cx="60960" cy="6096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spacing w:after="0"/>
        <w:rPr>
          <w:sz w:val="20"/>
          <w:szCs w:val="20"/>
          <w:color w:val="auto"/>
        </w:rPr>
      </w:pPr>
      <w:r>
        <w:rPr>
          <w:rFonts w:ascii="Times New Roman" w:cs="Times New Roman" w:eastAsia="Times New Roman" w:hAnsi="Times New Roman"/>
          <w:sz w:val="24"/>
          <w:szCs w:val="24"/>
          <w:color w:val="auto"/>
        </w:rPr>
        <w:t>and R-2: Medium Density Residential zoning districts.</w:t>
      </w:r>
    </w:p>
    <w:p>
      <w:pPr>
        <w:spacing w:after="0" w:line="244"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BACKGROUND:</w:t>
      </w:r>
    </w:p>
    <w:p>
      <w:pPr>
        <w:spacing w:after="0" w:line="32" w:lineRule="exact"/>
        <w:rPr>
          <w:sz w:val="24"/>
          <w:szCs w:val="24"/>
          <w:color w:val="auto"/>
        </w:rPr>
      </w:pPr>
    </w:p>
    <w:p>
      <w:pPr>
        <w:ind w:left="600" w:right="180"/>
        <w:spacing w:after="0"/>
        <w:rPr>
          <w:sz w:val="20"/>
          <w:szCs w:val="20"/>
          <w:color w:val="auto"/>
        </w:rPr>
      </w:pPr>
      <w:r>
        <w:rPr>
          <w:rFonts w:ascii="Times New Roman" w:cs="Times New Roman" w:eastAsia="Times New Roman" w:hAnsi="Times New Roman"/>
          <w:sz w:val="24"/>
          <w:szCs w:val="24"/>
          <w:color w:val="auto"/>
        </w:rPr>
        <w:t>The subject property is not within the National Historic District and is currently undeveloped. The Historic District Commission (HDC) approved a Certificate of Appropriateness for the Oakwood Subdivision (Phase 2) on March 23, 2023. The adjacent Oakwood Subdivision (Phase 1) was approved in 1999.</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-640715</wp:posOffset>
            </wp:positionV>
            <wp:extent cx="60960" cy="6096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extLst>
                    </a:blip>
                    <a:srcRect/>
                    <a:stretch>
                      <a:fillRect/>
                    </a:stretch>
                  </pic:blipFill>
                  <pic:spPr bwMode="auto">
                    <a:xfrm>
                      <a:off x="0" y="0"/>
                      <a:ext cx="60960" cy="6096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right="100"/>
        <w:spacing w:after="0" w:line="242" w:lineRule="auto"/>
        <w:rPr>
          <w:sz w:val="20"/>
          <w:szCs w:val="20"/>
          <w:color w:val="auto"/>
        </w:rPr>
      </w:pPr>
      <w:r>
        <w:rPr>
          <w:rFonts w:ascii="Times New Roman" w:cs="Times New Roman" w:eastAsia="Times New Roman" w:hAnsi="Times New Roman"/>
          <w:sz w:val="24"/>
          <w:szCs w:val="24"/>
          <w:color w:val="auto"/>
        </w:rPr>
        <w:t>The Planning Commission (PC) approved the Preliminary Plat for Phase 2 of the subdivision on April 4, 2023. Special notes were required related to stormwater drainage and front building setbacks. The Final Plat was approved by the PC on January 2, 2024 (see Exhibit 7, Page 2). Existing trees will need to be removed to construct the homes (see Exhibit 5). Lot 1 is less than 1 acre in size, and the Town will not have oversight of existing tree removal.</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-823595</wp:posOffset>
            </wp:positionV>
            <wp:extent cx="60960" cy="6096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extLst>
                    </a:blip>
                    <a:srcRect/>
                    <a:stretch>
                      <a:fillRect/>
                    </a:stretch>
                  </pic:blipFill>
                  <pic:spPr bwMode="auto">
                    <a:xfrm>
                      <a:off x="0" y="0"/>
                      <a:ext cx="60960" cy="6096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-297815</wp:posOffset>
            </wp:positionV>
            <wp:extent cx="60960" cy="6096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13"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KEY POINTS:</w:t>
      </w:r>
    </w:p>
    <w:p>
      <w:pPr>
        <w:spacing w:after="0" w:line="32" w:lineRule="exact"/>
        <w:rPr>
          <w:sz w:val="24"/>
          <w:szCs w:val="24"/>
          <w:color w:val="auto"/>
        </w:rPr>
      </w:pPr>
    </w:p>
    <w:p>
      <w:pPr>
        <w:ind w:right="40"/>
        <w:spacing w:after="0" w:line="250" w:lineRule="auto"/>
        <w:tabs>
          <w:tab w:leader="none" w:pos="240" w:val="left"/>
        </w:tabs>
        <w:numPr>
          <w:ilvl w:val="0"/>
          <w:numId w:val="1"/>
        </w:numPr>
        <w:rPr>
          <w:rFonts w:ascii="Times New Roman" w:cs="Times New Roman" w:eastAsia="Times New Roman" w:hAnsi="Times New Roman"/>
          <w:sz w:val="23"/>
          <w:szCs w:val="23"/>
          <w:b w:val="1"/>
          <w:bCs w:val="1"/>
          <w:color w:val="auto"/>
        </w:rPr>
      </w:pPr>
      <w:r>
        <w:rPr>
          <w:rFonts w:ascii="Times New Roman" w:cs="Times New Roman" w:eastAsia="Times New Roman" w:hAnsi="Times New Roman"/>
          <w:sz w:val="23"/>
          <w:szCs w:val="23"/>
          <w:b w:val="1"/>
          <w:bCs w:val="1"/>
          <w:color w:val="auto"/>
        </w:rPr>
        <w:t>The proposed home can be described as a Craftsman-influenced bungalow with historic detailing. The home incorporates architectural elements commonly found within the local historic district, including prominent front gables, decorative wood details, and a covered front porch.</w:t>
      </w:r>
    </w:p>
    <w:p>
      <w:pPr>
        <w:spacing w:after="0" w:line="1" w:lineRule="exact"/>
        <w:rPr>
          <w:rFonts w:ascii="Times New Roman" w:cs="Times New Roman" w:eastAsia="Times New Roman" w:hAnsi="Times New Roman"/>
          <w:sz w:val="23"/>
          <w:szCs w:val="23"/>
          <w:b w:val="1"/>
          <w:bCs w:val="1"/>
          <w:color w:val="auto"/>
        </w:rPr>
      </w:pPr>
    </w:p>
    <w:p>
      <w:pPr>
        <w:ind w:left="600" w:hanging="240"/>
        <w:spacing w:after="0"/>
        <w:rPr>
          <w:rFonts w:ascii="Times New Roman" w:cs="Times New Roman" w:eastAsia="Times New Roman" w:hAnsi="Times New Roman"/>
          <w:sz w:val="23"/>
          <w:szCs w:val="23"/>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primary dwelling is approximately 3,165 square feet, including an attached garage and a covered porch (see Exhibit 8).</w:t>
      </w:r>
    </w:p>
    <w:p>
      <w:pPr>
        <w:ind w:left="600" w:hanging="240"/>
        <w:spacing w:after="0"/>
        <w:rPr>
          <w:rFonts w:ascii="Times New Roman" w:cs="Times New Roman" w:eastAsia="Times New Roman" w:hAnsi="Times New Roman"/>
          <w:sz w:val="23"/>
          <w:szCs w:val="23"/>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A 720-square foot accessory structure is also being constructed to the rear but will </w:t>
      </w:r>
      <w:r>
        <w:rPr>
          <w:rFonts w:ascii="Times New Roman" w:cs="Times New Roman" w:eastAsia="Times New Roman" w:hAnsi="Times New Roman"/>
          <w:sz w:val="24"/>
          <w:szCs w:val="24"/>
          <w:u w:val="single" w:color="auto"/>
          <w:color w:val="auto"/>
        </w:rPr>
        <w:t>not</w:t>
      </w:r>
      <w:r>
        <w:rPr>
          <w:rFonts w:ascii="Times New Roman" w:cs="Times New Roman" w:eastAsia="Times New Roman" w:hAnsi="Times New Roman"/>
          <w:sz w:val="24"/>
          <w:szCs w:val="24"/>
          <w:color w:val="auto"/>
        </w:rPr>
        <w:t xml:space="preserve"> be visible from the public right-of-way. It is outside of the HDC's scope of review since it is not visible; however, a building permit is required.</w:t>
      </w:r>
    </w:p>
    <w:p>
      <w:pPr>
        <w:ind w:left="600" w:right="20" w:hanging="240"/>
        <w:spacing w:after="0"/>
        <w:rPr>
          <w:rFonts w:ascii="Times New Roman" w:cs="Times New Roman" w:eastAsia="Times New Roman" w:hAnsi="Times New Roman"/>
          <w:sz w:val="23"/>
          <w:szCs w:val="23"/>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A pool is proposed to the rear of the property. Permits will be required for the pool and any pool barrier fencing.</w:t>
      </w:r>
    </w:p>
    <w:p>
      <w:pPr>
        <w:ind w:left="600" w:hanging="240"/>
        <w:spacing w:after="0"/>
        <w:rPr>
          <w:rFonts w:ascii="Times New Roman" w:cs="Times New Roman" w:eastAsia="Times New Roman" w:hAnsi="Times New Roman"/>
          <w:sz w:val="23"/>
          <w:szCs w:val="23"/>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lot will share a private drive/turnaround at the terminus of Ellawood Lane with Lot 2 to the south.</w:t>
      </w:r>
    </w:p>
    <w:p>
      <w:pPr>
        <w:ind w:left="600" w:hanging="240"/>
        <w:spacing w:after="0"/>
        <w:rPr>
          <w:rFonts w:ascii="Times New Roman" w:cs="Times New Roman" w:eastAsia="Times New Roman" w:hAnsi="Times New Roman"/>
          <w:sz w:val="23"/>
          <w:szCs w:val="23"/>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proposed side yard setbacks meet the requirement of the plat. The Final Plat shows a minimum front setback of 45 feet and a rear setback of 30 feet (see Exhibits 4 &amp; 7).</w:t>
      </w:r>
    </w:p>
    <w:p>
      <w:pPr>
        <w:ind w:left="600" w:right="20" w:hanging="240"/>
        <w:spacing w:after="0"/>
        <w:rPr>
          <w:rFonts w:ascii="Times New Roman" w:cs="Times New Roman" w:eastAsia="Times New Roman" w:hAnsi="Times New Roman"/>
          <w:sz w:val="23"/>
          <w:szCs w:val="23"/>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A to-scale plot plan is needed to confirm the complies with the minimum required setbacks (see Exhibit 2, COA #2).</w:t>
      </w:r>
    </w:p>
    <w:p>
      <w:pPr>
        <w:spacing w:after="0" w:line="234" w:lineRule="exact"/>
        <w:rPr>
          <w:rFonts w:ascii="Times New Roman" w:cs="Times New Roman" w:eastAsia="Times New Roman" w:hAnsi="Times New Roman"/>
          <w:sz w:val="23"/>
          <w:szCs w:val="23"/>
          <w:b w:val="1"/>
          <w:bCs w:val="1"/>
          <w:color w:val="auto"/>
        </w:rPr>
      </w:pPr>
    </w:p>
    <w:p>
      <w:pPr>
        <w:ind w:right="20"/>
        <w:spacing w:after="0" w:line="276" w:lineRule="auto"/>
        <w:tabs>
          <w:tab w:leader="none" w:pos="277" w:val="left"/>
        </w:tabs>
        <w:numPr>
          <w:ilvl w:val="0"/>
          <w:numId w:val="1"/>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Although the dwelling’s characteristics are consistent with the overall Historic District, its design is not similar to the existing homes to the west (see Exhibit 5).</w:t>
      </w:r>
    </w:p>
    <w:p>
      <w:pPr>
        <w:sectPr>
          <w:pgSz w:w="12240" w:h="15840" w:orient="portrait"/>
          <w:cols w:equalWidth="0" w:num="1">
            <w:col w:w="10020"/>
          </w:cols>
          <w:pgMar w:left="1080" w:top="1173" w:right="1140" w:bottom="772" w:gutter="0" w:footer="0" w:header="0"/>
        </w:sectPr>
      </w:pPr>
    </w:p>
    <w:p>
      <w:pPr>
        <w:jc w:val="both"/>
        <w:ind w:left="600"/>
        <w:spacing w:after="0" w:line="251" w:lineRule="auto"/>
        <w:rPr>
          <w:sz w:val="20"/>
          <w:szCs w:val="20"/>
          <w:color w:val="auto"/>
        </w:rPr>
      </w:pPr>
      <w:r>
        <w:rPr>
          <w:rFonts w:ascii="Times New Roman" w:cs="Times New Roman" w:eastAsia="Times New Roman" w:hAnsi="Times New Roman"/>
          <w:sz w:val="24"/>
          <w:szCs w:val="24"/>
          <w:color w:val="auto"/>
        </w:rPr>
        <w:t>The homes in the Oakwood Subdivision (Phase 1) were constructed between 1999 and 2004 and exhibit architectural styles and design elements typical of their time period.</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-289560</wp:posOffset>
            </wp:positionV>
            <wp:extent cx="60960" cy="6096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The existing homes along Great Falls Cove, Ellawood Lane, and the proposed home are not visible from Poplar Avenue. The subdivision is on the fringe of the Local Historic Overlay.</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right="20"/>
        <w:spacing w:after="0"/>
        <w:rPr>
          <w:sz w:val="20"/>
          <w:szCs w:val="20"/>
          <w:color w:val="auto"/>
        </w:rPr>
      </w:pPr>
      <w:r>
        <w:rPr>
          <w:rFonts w:ascii="Times New Roman" w:cs="Times New Roman" w:eastAsia="Times New Roman" w:hAnsi="Times New Roman"/>
          <w:sz w:val="24"/>
          <w:szCs w:val="24"/>
          <w:color w:val="auto"/>
        </w:rPr>
        <w:t>The dwellings on these streets, while in the Local Historic Overlay, have not been strictly held to the HDC Guidelines and are more suburban character.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line="242" w:lineRule="auto"/>
        <w:rPr>
          <w:sz w:val="20"/>
          <w:szCs w:val="20"/>
          <w:color w:val="auto"/>
        </w:rPr>
      </w:pPr>
      <w:r>
        <w:rPr>
          <w:rFonts w:ascii="Times New Roman" w:cs="Times New Roman" w:eastAsia="Times New Roman" w:hAnsi="Times New Roman"/>
          <w:sz w:val="24"/>
          <w:szCs w:val="24"/>
          <w:color w:val="auto"/>
        </w:rPr>
        <w:t>The proposed dwelling will be more consistent with the Historic District Guidelines than the existing dwellings in Oakwood Phase 1. The HDC should consider removing houses from this area from the Local Historic Overlay at some point, as recommended by a 2000 Preservation Plan.</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-646430</wp:posOffset>
            </wp:positionV>
            <wp:extent cx="60960" cy="6096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15" w:lineRule="exact"/>
        <w:rPr>
          <w:sz w:val="20"/>
          <w:szCs w:val="20"/>
          <w:color w:val="auto"/>
        </w:rPr>
      </w:pPr>
    </w:p>
    <w:p>
      <w:pPr>
        <w:spacing w:after="0" w:line="253" w:lineRule="auto"/>
        <w:tabs>
          <w:tab w:leader="none" w:pos="333" w:val="left"/>
        </w:tabs>
        <w:numPr>
          <w:ilvl w:val="0"/>
          <w:numId w:val="2"/>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The proposed dwelling meets the Historic District Guidelines for complexity of form, directional expression, height and width, and scale (see Exhibits 3 &amp; 8).</w:t>
      </w:r>
    </w:p>
    <w:p>
      <w:pPr>
        <w:spacing w:after="0" w:line="2" w:lineRule="exact"/>
        <w:rPr>
          <w:rFonts w:ascii="Times New Roman" w:cs="Times New Roman" w:eastAsia="Times New Roman" w:hAnsi="Times New Roman"/>
          <w:sz w:val="24"/>
          <w:szCs w:val="24"/>
          <w:b w:val="1"/>
          <w:bCs w:val="1"/>
          <w:color w:val="auto"/>
        </w:rPr>
      </w:pPr>
    </w:p>
    <w:p>
      <w:pPr>
        <w:ind w:left="36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proposed width of the home is approximately 60 feet and has a height of 29 feet.</w:t>
      </w:r>
    </w:p>
    <w:p>
      <w:pPr>
        <w:ind w:left="36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A front porch (approximately 22 feet wide) provides human scale.</w:t>
      </w:r>
    </w:p>
    <w:p>
      <w:pPr>
        <w:ind w:left="36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proposed structure will be orientated south and will face Lot 2 (see Exhibit 4).</w:t>
      </w:r>
    </w:p>
    <w:p>
      <w:pPr>
        <w:ind w:left="36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average finished floor elevation of the front elevation is eighteen (18) inches above grade.</w:t>
      </w:r>
    </w:p>
    <w:p>
      <w:pPr>
        <w:spacing w:after="0" w:line="244" w:lineRule="exact"/>
        <w:rPr>
          <w:rFonts w:ascii="Times New Roman" w:cs="Times New Roman" w:eastAsia="Times New Roman" w:hAnsi="Times New Roman"/>
          <w:sz w:val="24"/>
          <w:szCs w:val="24"/>
          <w:b w:val="1"/>
          <w:bCs w:val="1"/>
          <w:color w:val="auto"/>
        </w:rPr>
      </w:pPr>
    </w:p>
    <w:p>
      <w:pPr>
        <w:spacing w:after="0" w:line="253" w:lineRule="auto"/>
        <w:tabs>
          <w:tab w:leader="none" w:pos="252" w:val="left"/>
        </w:tabs>
        <w:numPr>
          <w:ilvl w:val="0"/>
          <w:numId w:val="2"/>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The Collierville Historic District Guidelines note traditionally designed houses have distinctive window types and patterns, and doorway design.</w:t>
      </w:r>
    </w:p>
    <w:p>
      <w:pPr>
        <w:spacing w:after="0" w:line="2" w:lineRule="exact"/>
        <w:rPr>
          <w:rFonts w:ascii="Times New Roman" w:cs="Times New Roman" w:eastAsia="Times New Roman" w:hAnsi="Times New Roman"/>
          <w:sz w:val="24"/>
          <w:szCs w:val="24"/>
          <w:b w:val="1"/>
          <w:bCs w:val="1"/>
          <w:color w:val="auto"/>
        </w:rPr>
      </w:pPr>
    </w:p>
    <w:p>
      <w:pPr>
        <w:ind w:left="6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applicant is proposing aluminum clad windows with a 4-over-1 lite pattern; however, the mullions will be between the panes as it matches the existing homes in the vicinity. The Historic District Guidelines state this is inappropriate (see Exhibit 2 COA #4 &amp; Exhibit 3).</w:t>
      </w:r>
    </w:p>
    <w:p>
      <w:pPr>
        <w:ind w:left="6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front double doors will each be 36 inches wide and approximately 8 feet in height (see Exhibit 2, COA #5).</w:t>
      </w:r>
    </w:p>
    <w:p>
      <w:pPr>
        <w:spacing w:after="0" w:line="234" w:lineRule="exact"/>
        <w:rPr>
          <w:rFonts w:ascii="Times New Roman" w:cs="Times New Roman" w:eastAsia="Times New Roman" w:hAnsi="Times New Roman"/>
          <w:sz w:val="24"/>
          <w:szCs w:val="24"/>
          <w:b w:val="1"/>
          <w:bCs w:val="1"/>
          <w:color w:val="auto"/>
        </w:rPr>
      </w:pPr>
    </w:p>
    <w:p>
      <w:pPr>
        <w:ind w:right="20"/>
        <w:spacing w:after="0" w:line="253" w:lineRule="auto"/>
        <w:tabs>
          <w:tab w:leader="none" w:pos="348" w:val="left"/>
        </w:tabs>
        <w:numPr>
          <w:ilvl w:val="0"/>
          <w:numId w:val="2"/>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The roof form, materials, texture, color, and decorative elements for the proposed residence meet the Historic District Guidelines with one exception (see Exhibits 3, 6, &amp; 8).</w:t>
      </w:r>
    </w:p>
    <w:p>
      <w:pPr>
        <w:spacing w:after="0" w:line="2" w:lineRule="exact"/>
        <w:rPr>
          <w:rFonts w:ascii="Times New Roman" w:cs="Times New Roman" w:eastAsia="Times New Roman" w:hAnsi="Times New Roman"/>
          <w:sz w:val="24"/>
          <w:szCs w:val="24"/>
          <w:b w:val="1"/>
          <w:bCs w:val="1"/>
          <w:color w:val="auto"/>
        </w:rPr>
      </w:pPr>
    </w:p>
    <w:p>
      <w:pPr>
        <w:ind w:left="6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primary exterior building material is shake shingle siding made from engineered wood with baked on acrylic, in the style “Straight Edge” and in the color “Sand”. The applicant is also proposing stone veneer as the foundation material; however, it is unclear if the stone is natural or faux. These materials may not be appropriate for use elsewhere in the Historic Overlay, especially on historic structures.</w:t>
      </w:r>
    </w:p>
    <w:p>
      <w:pPr>
        <w:ind w:left="6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dwelling has a complex cross-gabled roof form consisting of a dominant side-gable roof intersected by multiple front-facing gables and dormers.</w:t>
      </w:r>
    </w:p>
    <w:p>
      <w:pPr>
        <w:ind w:left="6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7">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Guidelines state roof shingles shall be dimensional/architectural. Three-tab shingles would be inappropriate. The example photo provided by the applicant depicts appropriate shingles; however, more information is needed to verify the shingle style (Exhibit 2, COA #9).</w:t>
      </w:r>
    </w:p>
    <w:p>
      <w:pPr>
        <w:spacing w:after="0" w:line="234" w:lineRule="exact"/>
        <w:rPr>
          <w:rFonts w:ascii="Times New Roman" w:cs="Times New Roman" w:eastAsia="Times New Roman" w:hAnsi="Times New Roman"/>
          <w:sz w:val="24"/>
          <w:szCs w:val="24"/>
          <w:b w:val="1"/>
          <w:bCs w:val="1"/>
          <w:color w:val="auto"/>
        </w:rPr>
      </w:pPr>
    </w:p>
    <w:p>
      <w:pPr>
        <w:jc w:val="both"/>
        <w:spacing w:after="0" w:line="249" w:lineRule="auto"/>
        <w:tabs>
          <w:tab w:leader="none" w:pos="264" w:val="left"/>
        </w:tabs>
        <w:numPr>
          <w:ilvl w:val="0"/>
          <w:numId w:val="2"/>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The "hook-in" garage will extend in front of the dwelling’s "centerline". Hook-in and front-facing garages are inappropriate for the local Historic Overlay but are common on Great Falls Cove.</w:t>
      </w:r>
    </w:p>
    <w:p>
      <w:pPr>
        <w:spacing w:after="0" w:line="1" w:lineRule="exact"/>
        <w:rPr>
          <w:rFonts w:ascii="Times New Roman" w:cs="Times New Roman" w:eastAsia="Times New Roman" w:hAnsi="Times New Roman"/>
          <w:sz w:val="24"/>
          <w:szCs w:val="24"/>
          <w:b w:val="1"/>
          <w:bCs w:val="1"/>
          <w:color w:val="auto"/>
        </w:rPr>
      </w:pPr>
    </w:p>
    <w:p>
      <w:pPr>
        <w:ind w:left="6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8">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Historic District Guidelines state new garages, carports, or outbuildings should be located to the rear of the main house or it should be placed to the side of the main house without extending in front of its centerline.</w:t>
      </w:r>
    </w:p>
    <w:p>
      <w:pPr>
        <w:ind w:left="6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9">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property owner states the driveway pad will be traditional concrete with a broom texture and the driveway will be asphalt (Exhibit 2, COA #8).</w:t>
      </w:r>
    </w:p>
    <w:p>
      <w:pPr>
        <w:spacing w:after="0" w:line="234" w:lineRule="exact"/>
        <w:rPr>
          <w:sz w:val="20"/>
          <w:szCs w:val="20"/>
          <w:color w:val="auto"/>
        </w:rPr>
      </w:pPr>
    </w:p>
    <w:p>
      <w:pPr>
        <w:spacing w:after="0" w:line="276" w:lineRule="auto"/>
        <w:rPr>
          <w:sz w:val="20"/>
          <w:szCs w:val="20"/>
          <w:color w:val="auto"/>
        </w:rPr>
      </w:pPr>
      <w:r>
        <w:rPr>
          <w:rFonts w:ascii="Times New Roman" w:cs="Times New Roman" w:eastAsia="Times New Roman" w:hAnsi="Times New Roman"/>
          <w:sz w:val="24"/>
          <w:szCs w:val="24"/>
          <w:b w:val="1"/>
          <w:bCs w:val="1"/>
          <w:color w:val="auto"/>
        </w:rPr>
        <w:t>STAFF RECOMMENDATION:</w:t>
      </w:r>
      <w:r>
        <w:rPr>
          <w:rFonts w:ascii="Times New Roman" w:cs="Times New Roman" w:eastAsia="Times New Roman" w:hAnsi="Times New Roman"/>
          <w:sz w:val="24"/>
          <w:szCs w:val="24"/>
          <w:color w:val="auto"/>
        </w:rPr>
        <w:t xml:space="preserve"> Staff recommends approval of the CofA for the dwelling, as the nearby homes to the west (also within the Historic District) do not fully comply with the Historic</w:t>
      </w:r>
    </w:p>
    <w:p>
      <w:pPr>
        <w:sectPr>
          <w:pgSz w:w="12240" w:h="15840" w:orient="portrait"/>
          <w:cols w:equalWidth="0" w:num="1">
            <w:col w:w="10020"/>
          </w:cols>
          <w:pgMar w:left="1080" w:top="831" w:right="1140" w:bottom="568" w:gutter="0" w:footer="0" w:header="0"/>
        </w:sectPr>
      </w:pPr>
    </w:p>
    <w:p>
      <w:pPr>
        <w:jc w:val="both"/>
        <w:spacing w:after="0" w:line="255" w:lineRule="auto"/>
        <w:rPr>
          <w:sz w:val="20"/>
          <w:szCs w:val="20"/>
          <w:color w:val="auto"/>
        </w:rPr>
      </w:pPr>
      <w:r>
        <w:rPr>
          <w:rFonts w:ascii="Times New Roman" w:cs="Times New Roman" w:eastAsia="Times New Roman" w:hAnsi="Times New Roman"/>
          <w:sz w:val="24"/>
          <w:szCs w:val="24"/>
          <w:color w:val="auto"/>
        </w:rPr>
        <w:t>District Guidelines, the proposed dwelling will not visible from the core of the Historic District along the Poplar Avenue corridor, and many features of the home will still meet the Historic District Guidelines once the conditions of approval (Exhibit 2) are met.</w:t>
      </w:r>
    </w:p>
    <w:p>
      <w:pPr>
        <w:spacing w:after="0" w:line="218"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ATTACHMENTS:</w:t>
      </w:r>
    </w:p>
    <w:p>
      <w:pPr>
        <w:spacing w:after="0" w:line="32" w:lineRule="exact"/>
        <w:rPr>
          <w:sz w:val="20"/>
          <w:szCs w:val="20"/>
          <w:color w:val="auto"/>
        </w:rPr>
      </w:pPr>
    </w:p>
    <w:p>
      <w:pPr>
        <w:spacing w:after="0"/>
        <w:rPr>
          <w:rFonts w:ascii="Times New Roman" w:cs="Times New Roman" w:eastAsia="Times New Roman" w:hAnsi="Times New Roman"/>
          <w:sz w:val="24"/>
          <w:szCs w:val="24"/>
          <w:color w:val="0000EE"/>
        </w:rPr>
      </w:pPr>
      <w:hyperlink r:id="rId40">
        <w:r>
          <w:rPr>
            <w:rFonts w:ascii="Times New Roman" w:cs="Times New Roman" w:eastAsia="Times New Roman" w:hAnsi="Times New Roman"/>
            <w:sz w:val="24"/>
            <w:szCs w:val="24"/>
            <w:color w:val="0000EE"/>
          </w:rPr>
          <w:t>Exhibit 1 Vicinity Map &amp; Contact Information 6.8.26.pdf</w:t>
        </w:r>
      </w:hyperlink>
    </w:p>
    <w:p>
      <w:pPr>
        <w:spacing w:after="0"/>
        <w:rPr>
          <w:rFonts w:ascii="Times New Roman" w:cs="Times New Roman" w:eastAsia="Times New Roman" w:hAnsi="Times New Roman"/>
          <w:sz w:val="24"/>
          <w:szCs w:val="24"/>
          <w:color w:val="0000EE"/>
        </w:rPr>
      </w:pPr>
      <w:hyperlink r:id="rId41">
        <w:r>
          <w:rPr>
            <w:rFonts w:ascii="Times New Roman" w:cs="Times New Roman" w:eastAsia="Times New Roman" w:hAnsi="Times New Roman"/>
            <w:sz w:val="24"/>
            <w:szCs w:val="24"/>
            <w:color w:val="0000EE"/>
          </w:rPr>
          <w:t>Exhibit 2 Conditions of Approval 6.19.26.pdf</w:t>
        </w:r>
      </w:hyperlink>
    </w:p>
    <w:p>
      <w:pPr>
        <w:spacing w:after="0"/>
        <w:rPr>
          <w:rFonts w:ascii="Times New Roman" w:cs="Times New Roman" w:eastAsia="Times New Roman" w:hAnsi="Times New Roman"/>
          <w:sz w:val="24"/>
          <w:szCs w:val="24"/>
          <w:color w:val="0000EE"/>
        </w:rPr>
      </w:pPr>
      <w:hyperlink r:id="rId42">
        <w:r>
          <w:rPr>
            <w:rFonts w:ascii="Times New Roman" w:cs="Times New Roman" w:eastAsia="Times New Roman" w:hAnsi="Times New Roman"/>
            <w:sz w:val="24"/>
            <w:szCs w:val="24"/>
            <w:color w:val="0000EE"/>
          </w:rPr>
          <w:t>Exhibit 3 Cover Letter 6.2.26.pdf</w:t>
        </w:r>
      </w:hyperlink>
    </w:p>
    <w:p>
      <w:pPr>
        <w:spacing w:after="0"/>
        <w:rPr>
          <w:rFonts w:ascii="Times New Roman" w:cs="Times New Roman" w:eastAsia="Times New Roman" w:hAnsi="Times New Roman"/>
          <w:sz w:val="24"/>
          <w:szCs w:val="24"/>
          <w:color w:val="0000EE"/>
        </w:rPr>
      </w:pPr>
      <w:hyperlink r:id="rId43">
        <w:r>
          <w:rPr>
            <w:rFonts w:ascii="Times New Roman" w:cs="Times New Roman" w:eastAsia="Times New Roman" w:hAnsi="Times New Roman"/>
            <w:sz w:val="24"/>
            <w:szCs w:val="24"/>
            <w:color w:val="0000EE"/>
          </w:rPr>
          <w:t>Exhibit 4 Site Layout 6.2.26.pdf</w:t>
        </w:r>
      </w:hyperlink>
    </w:p>
    <w:p>
      <w:pPr>
        <w:spacing w:after="0"/>
        <w:rPr>
          <w:rFonts w:ascii="Times New Roman" w:cs="Times New Roman" w:eastAsia="Times New Roman" w:hAnsi="Times New Roman"/>
          <w:sz w:val="24"/>
          <w:szCs w:val="24"/>
          <w:color w:val="0000EE"/>
        </w:rPr>
      </w:pPr>
      <w:hyperlink r:id="rId44">
        <w:r>
          <w:rPr>
            <w:rFonts w:ascii="Times New Roman" w:cs="Times New Roman" w:eastAsia="Times New Roman" w:hAnsi="Times New Roman"/>
            <w:sz w:val="24"/>
            <w:szCs w:val="24"/>
            <w:color w:val="0000EE"/>
          </w:rPr>
          <w:t>Exhibit 5 Site Photos 6.2.26.pdf</w:t>
        </w:r>
      </w:hyperlink>
    </w:p>
    <w:p>
      <w:pPr>
        <w:spacing w:after="0"/>
        <w:rPr>
          <w:rFonts w:ascii="Times New Roman" w:cs="Times New Roman" w:eastAsia="Times New Roman" w:hAnsi="Times New Roman"/>
          <w:sz w:val="24"/>
          <w:szCs w:val="24"/>
          <w:color w:val="0000EE"/>
        </w:rPr>
      </w:pPr>
      <w:hyperlink r:id="rId45">
        <w:r>
          <w:rPr>
            <w:rFonts w:ascii="Times New Roman" w:cs="Times New Roman" w:eastAsia="Times New Roman" w:hAnsi="Times New Roman"/>
            <w:sz w:val="24"/>
            <w:szCs w:val="24"/>
            <w:color w:val="0000EE"/>
          </w:rPr>
          <w:t>Exhibit 6 Material Details 6.2.26.pdf</w:t>
        </w:r>
      </w:hyperlink>
    </w:p>
    <w:p>
      <w:pPr>
        <w:spacing w:after="0"/>
        <w:rPr>
          <w:rFonts w:ascii="Times New Roman" w:cs="Times New Roman" w:eastAsia="Times New Roman" w:hAnsi="Times New Roman"/>
          <w:sz w:val="24"/>
          <w:szCs w:val="24"/>
          <w:color w:val="0000EE"/>
        </w:rPr>
      </w:pPr>
      <w:hyperlink r:id="rId46">
        <w:r>
          <w:rPr>
            <w:rFonts w:ascii="Times New Roman" w:cs="Times New Roman" w:eastAsia="Times New Roman" w:hAnsi="Times New Roman"/>
            <w:sz w:val="24"/>
            <w:szCs w:val="24"/>
            <w:color w:val="0000EE"/>
          </w:rPr>
          <w:t>Exhibit 7 Final Plat 4.11.24.pdf</w:t>
        </w:r>
      </w:hyperlink>
    </w:p>
    <w:p>
      <w:pPr>
        <w:spacing w:after="0"/>
        <w:rPr>
          <w:rFonts w:ascii="Times New Roman" w:cs="Times New Roman" w:eastAsia="Times New Roman" w:hAnsi="Times New Roman"/>
          <w:sz w:val="24"/>
          <w:szCs w:val="24"/>
          <w:color w:val="0000EE"/>
        </w:rPr>
      </w:pPr>
      <w:hyperlink r:id="rId47">
        <w:r>
          <w:rPr>
            <w:rFonts w:ascii="Times New Roman" w:cs="Times New Roman" w:eastAsia="Times New Roman" w:hAnsi="Times New Roman"/>
            <w:sz w:val="24"/>
            <w:szCs w:val="24"/>
            <w:color w:val="0000EE"/>
          </w:rPr>
          <w:t>Exhibit 8 Elevations &amp; Renderings 6.2.26.pdf</w:t>
        </w:r>
      </w:hyperlink>
    </w:p>
    <w:p>
      <w:pPr>
        <w:spacing w:after="0" w:line="244"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PROPOSED MOTION:</w:t>
      </w:r>
    </w:p>
    <w:p>
      <w:pPr>
        <w:spacing w:after="0" w:line="246" w:lineRule="exact"/>
        <w:rPr>
          <w:sz w:val="20"/>
          <w:szCs w:val="20"/>
          <w:color w:val="auto"/>
        </w:rPr>
      </w:pPr>
    </w:p>
    <w:p>
      <w:pPr>
        <w:ind w:right="40"/>
        <w:spacing w:after="0" w:line="271" w:lineRule="auto"/>
        <w:rPr>
          <w:sz w:val="20"/>
          <w:szCs w:val="20"/>
          <w:color w:val="auto"/>
        </w:rPr>
      </w:pPr>
      <w:r>
        <w:rPr>
          <w:rFonts w:ascii="Times New Roman" w:cs="Times New Roman" w:eastAsia="Times New Roman" w:hAnsi="Times New Roman"/>
          <w:sz w:val="24"/>
          <w:szCs w:val="24"/>
          <w:color w:val="auto"/>
        </w:rPr>
        <w:t>To approve the applicant’s request (Exhibits 3 &amp; 8) for a Certificate of Appropriateness for a new residence at 270 Ellawood Lane, subject to the conditions in Exhibit 2.</w:t>
      </w:r>
    </w:p>
    <w:sectPr>
      <w:pgSz w:w="12240" w:h="15840" w:orient="portrait"/>
      <w:cols w:equalWidth="0" w:num="1">
        <w:col w:w="10020"/>
      </w:cols>
      <w:pgMar w:left="1080" w:top="831" w:right="1140" w:bottom="144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http://schemas.openxmlformats.org/wordprocessingml/2006/main">
  <w:abstractNum w:abstractNumId="0">
    <w:nsid w:val="6952"/>
    <w:multiLevelType w:val="hybridMultilevel"/>
    <w:lvl w:ilvl="0">
      <w:lvlJc w:val="left"/>
      <w:lvlText w:val="%1."/>
      <w:numFmt w:val="decimal"/>
      <w:start w:val="1"/>
    </w:lvl>
  </w:abstractNum>
  <w:abstractNum w:abstractNumId="1">
    <w:nsid w:val="5F90"/>
    <w:multiLevelType w:val="hybridMultilevel"/>
    <w:lvl w:ilvl="0">
      <w:lvlJc w:val="left"/>
      <w:lvlText w:val="%1."/>
      <w:numFmt w:val="decimal"/>
      <w:start w:val="3"/>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webSettings" Target="webSettings.xml"/><Relationship Id="rId11" Type="http://schemas.openxmlformats.org/officeDocument/2006/relationships/numbering" Target="numbering.xml"/><Relationship Id="rId12" Type="http://schemas.openxmlformats.org/officeDocument/2006/relationships/image" Target="media/image1.png"/><Relationship Id="rId13" Type="http://schemas.openxmlformats.org/officeDocument/2006/relationships/image" Target="media/image2.png"/><Relationship Id="rId14" Type="http://schemas.openxmlformats.org/officeDocument/2006/relationships/image" Target="media/image3.png"/><Relationship Id="rId15" Type="http://schemas.openxmlformats.org/officeDocument/2006/relationships/image" Target="media/image4.png"/><Relationship Id="rId16" Type="http://schemas.openxmlformats.org/officeDocument/2006/relationships/image" Target="media/image5.png"/><Relationship Id="rId17" Type="http://schemas.openxmlformats.org/officeDocument/2006/relationships/image" Target="media/image6.png"/><Relationship Id="rId18" Type="http://schemas.openxmlformats.org/officeDocument/2006/relationships/image" Target="media/image7.png"/><Relationship Id="rId19" Type="http://schemas.openxmlformats.org/officeDocument/2006/relationships/image" Target="media/image8.png"/><Relationship Id="rId20" Type="http://schemas.openxmlformats.org/officeDocument/2006/relationships/image" Target="media/image9.png"/><Relationship Id="rId21" Type="http://schemas.openxmlformats.org/officeDocument/2006/relationships/image" Target="media/image10.png"/><Relationship Id="rId22" Type="http://schemas.openxmlformats.org/officeDocument/2006/relationships/image" Target="media/image11.png"/><Relationship Id="rId23" Type="http://schemas.openxmlformats.org/officeDocument/2006/relationships/image" Target="media/image12.png"/><Relationship Id="rId24" Type="http://schemas.openxmlformats.org/officeDocument/2006/relationships/image" Target="media/image13.png"/><Relationship Id="rId25" Type="http://schemas.openxmlformats.org/officeDocument/2006/relationships/image" Target="media/image14.png"/><Relationship Id="rId26" Type="http://schemas.openxmlformats.org/officeDocument/2006/relationships/image" Target="media/image15.png"/><Relationship Id="rId27" Type="http://schemas.openxmlformats.org/officeDocument/2006/relationships/image" Target="media/image16.png"/><Relationship Id="rId28" Type="http://schemas.openxmlformats.org/officeDocument/2006/relationships/image" Target="media/image17.png"/><Relationship Id="rId29" Type="http://schemas.openxmlformats.org/officeDocument/2006/relationships/image" Target="media/image18.png"/><Relationship Id="rId30" Type="http://schemas.openxmlformats.org/officeDocument/2006/relationships/image" Target="media/image19.png"/><Relationship Id="rId31" Type="http://schemas.openxmlformats.org/officeDocument/2006/relationships/image" Target="media/image20.png"/><Relationship Id="rId32" Type="http://schemas.openxmlformats.org/officeDocument/2006/relationships/image" Target="media/image21.png"/><Relationship Id="rId33" Type="http://schemas.openxmlformats.org/officeDocument/2006/relationships/image" Target="media/image22.png"/><Relationship Id="rId34" Type="http://schemas.openxmlformats.org/officeDocument/2006/relationships/image" Target="media/image23.png"/><Relationship Id="rId35" Type="http://schemas.openxmlformats.org/officeDocument/2006/relationships/image" Target="media/image24.png"/><Relationship Id="rId36" Type="http://schemas.openxmlformats.org/officeDocument/2006/relationships/image" Target="media/image25.png"/><Relationship Id="rId37" Type="http://schemas.openxmlformats.org/officeDocument/2006/relationships/image" Target="media/image26.png"/><Relationship Id="rId38" Type="http://schemas.openxmlformats.org/officeDocument/2006/relationships/image" Target="media/image27.png"/><Relationship Id="rId39" Type="http://schemas.openxmlformats.org/officeDocument/2006/relationships/image" Target="media/image28.png"/><Relationship Id="rId40" Type="http://schemas.openxmlformats.org/officeDocument/2006/relationships/hyperlink" Target="https://collierville.granicus.com/services/legistar/download/pdf/4195880/Exhibit_1_Vicinity_Map___Contact_Information_6.8.26.pdf" TargetMode="External"/><Relationship Id="rId41" Type="http://schemas.openxmlformats.org/officeDocument/2006/relationships/hyperlink" Target="https://collierville.granicus.com/services/legistar/download/pdf/4195881/Exhibit_2_Conditions_of_Approval_6.19.26.pdf" TargetMode="External"/><Relationship Id="rId42" Type="http://schemas.openxmlformats.org/officeDocument/2006/relationships/hyperlink" Target="https://collierville.granicus.com/services/legistar/download/pdf/4195882/Exhibit_3_Cover_Letter_6.2.26.pdf" TargetMode="External"/><Relationship Id="rId43" Type="http://schemas.openxmlformats.org/officeDocument/2006/relationships/hyperlink" Target="https://collierville.granicus.com/services/legistar/download/pdf/4195883/Exhibit_4_Site_Layout_6.2.26.pdf" TargetMode="External"/><Relationship Id="rId44" Type="http://schemas.openxmlformats.org/officeDocument/2006/relationships/hyperlink" Target="https://collierville.granicus.com/services/legistar/download/pdf/4195884/Exhibit_5_Site_Photos_6.2.26.pdf" TargetMode="External"/><Relationship Id="rId45" Type="http://schemas.openxmlformats.org/officeDocument/2006/relationships/hyperlink" Target="https://collierville.granicus.com/services/legistar/download/pdf/4195885/Exhibit_6_Material_Details_6.2.26.pdf" TargetMode="External"/><Relationship Id="rId46" Type="http://schemas.openxmlformats.org/officeDocument/2006/relationships/hyperlink" Target="https://collierville.granicus.com/services/legistar/download/pdf/4195886/Exhibit_7_Final_Plat_4.11.24.pdf" TargetMode="External"/><Relationship Id="rId47" Type="http://schemas.openxmlformats.org/officeDocument/2006/relationships/hyperlink" Target="https://collierville.granicus.com/services/legistar/download/pdf/4195887/Exhibit_8_Elevations___Renderings_6.2.26.pdf"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2026-06-19T19:27:24Z</dcterms:created>
  <dcterms:modified xsi:type="dcterms:W3CDTF">2026-06-19T19:27:24Z</dcterms:modified>
</cp:coreProperties>
</file>