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ind w:left="7940"/>
        <w:spacing w:after="0"/>
        <w:rPr>
          <w:sz w:val="20"/>
          <w:szCs w:val="20"/>
          <w:color w:val="auto"/>
        </w:rPr>
      </w:pPr>
      <w:r>
        <w:rPr>
          <w:rFonts w:ascii="Times New Roman" w:cs="Times New Roman" w:eastAsia="Times New Roman" w:hAnsi="Times New Roman"/>
          <w:sz w:val="23"/>
          <w:szCs w:val="23"/>
          <w:color w:val="auto"/>
        </w:rPr>
        <w:t>Agenda Item No: 5.C</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22225</wp:posOffset>
            </wp:positionV>
            <wp:extent cx="1234440" cy="9220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extLst>
                    </a:blip>
                    <a:srcRect/>
                    <a:stretch>
                      <a:fillRect/>
                    </a:stretch>
                  </pic:blipFill>
                  <pic:spPr bwMode="auto">
                    <a:xfrm>
                      <a:off x="0" y="0"/>
                      <a:ext cx="1234440" cy="922020"/>
                    </a:xfrm>
                    <a:prstGeom prst="rect">
                      <a:avLst/>
                    </a:prstGeom>
                    <a:noFill/>
                  </pic:spPr>
                </pic:pic>
              </a:graphicData>
            </a:graphic>
          </wp:anchor>
        </w:drawing>
      </w:r>
    </w:p>
    <w:p>
      <w:pPr>
        <w:spacing w:after="0" w:line="200" w:lineRule="exact"/>
        <w:rPr>
          <w:sz w:val="24"/>
          <w:szCs w:val="24"/>
          <w:color w:val="auto"/>
        </w:rPr>
      </w:pPr>
    </w:p>
    <w:p>
      <w:pPr>
        <w:spacing w:after="0" w:line="323" w:lineRule="exact"/>
        <w:rPr>
          <w:sz w:val="24"/>
          <w:szCs w:val="24"/>
          <w:color w:val="auto"/>
        </w:rPr>
      </w:pPr>
    </w:p>
    <w:p>
      <w:pPr>
        <w:ind w:left="2200"/>
        <w:spacing w:after="0"/>
        <w:rPr>
          <w:sz w:val="20"/>
          <w:szCs w:val="20"/>
          <w:color w:val="auto"/>
        </w:rPr>
      </w:pPr>
      <w:r>
        <w:rPr>
          <w:rFonts w:ascii="Times New Roman" w:cs="Times New Roman" w:eastAsia="Times New Roman" w:hAnsi="Times New Roman"/>
          <w:sz w:val="36"/>
          <w:szCs w:val="36"/>
          <w:b w:val="1"/>
          <w:bCs w:val="1"/>
          <w:color w:val="auto"/>
        </w:rPr>
        <w:t>STAFF REPORT</w:t>
      </w:r>
    </w:p>
    <w:p>
      <w:pPr>
        <w:sectPr>
          <w:pgSz w:w="12240" w:h="15840" w:orient="portrait"/>
          <w:cols w:equalWidth="0" w:num="1">
            <w:col w:w="10020"/>
          </w:cols>
          <w:pgMar w:left="1080" w:top="831" w:right="1140" w:bottom="694" w:gutter="0" w:footer="0" w:header="0"/>
        </w:sectPr>
      </w:pPr>
    </w:p>
    <w:p>
      <w:pPr>
        <w:spacing w:after="0" w:line="200" w:lineRule="exact"/>
        <w:rPr>
          <w:sz w:val="24"/>
          <w:szCs w:val="24"/>
          <w:color w:val="auto"/>
        </w:rPr>
      </w:pPr>
    </w:p>
    <w:p>
      <w:pPr>
        <w:spacing w:after="0" w:line="200" w:lineRule="exact"/>
        <w:rPr>
          <w:sz w:val="24"/>
          <w:szCs w:val="24"/>
          <w:color w:val="auto"/>
        </w:rPr>
      </w:pPr>
    </w:p>
    <w:p>
      <w:pPr>
        <w:spacing w:after="0" w:line="341" w:lineRule="exact"/>
        <w:rPr>
          <w:sz w:val="24"/>
          <w:szCs w:val="24"/>
          <w:color w:val="auto"/>
        </w:rPr>
      </w:pPr>
    </w:p>
    <w:p>
      <w:pPr>
        <w:spacing w:after="0"/>
        <w:rPr>
          <w:sz w:val="20"/>
          <w:szCs w:val="20"/>
          <w:color w:val="auto"/>
        </w:rPr>
      </w:pPr>
      <w:r>
        <w:rPr>
          <w:rFonts w:ascii="Times New Roman" w:cs="Times New Roman" w:eastAsia="Times New Roman" w:hAnsi="Times New Roman"/>
          <w:sz w:val="23"/>
          <w:szCs w:val="23"/>
          <w:b w:val="1"/>
          <w:bCs w:val="1"/>
          <w:color w:val="auto"/>
        </w:rPr>
        <w:t>Report To:</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27"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Regional Transportation</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21"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Meeting Date:</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27" w:lineRule="exact"/>
        <w:rPr>
          <w:sz w:val="24"/>
          <w:szCs w:val="24"/>
          <w:color w:val="auto"/>
        </w:rPr>
      </w:pPr>
    </w:p>
    <w:p>
      <w:pPr>
        <w:spacing w:after="0"/>
        <w:rPr>
          <w:sz w:val="20"/>
          <w:szCs w:val="20"/>
          <w:color w:val="auto"/>
        </w:rPr>
      </w:pPr>
      <w:r>
        <w:rPr>
          <w:rFonts w:ascii="Times New Roman" w:cs="Times New Roman" w:eastAsia="Times New Roman" w:hAnsi="Times New Roman"/>
          <w:sz w:val="23"/>
          <w:szCs w:val="23"/>
          <w:color w:val="auto"/>
        </w:rPr>
        <w:t>April 8, 2026</w:t>
      </w:r>
    </w:p>
    <w:p>
      <w:pPr>
        <w:spacing w:after="0" w:line="47" w:lineRule="exact"/>
        <w:rPr>
          <w:sz w:val="24"/>
          <w:szCs w:val="24"/>
          <w:color w:val="auto"/>
        </w:rPr>
      </w:pPr>
    </w:p>
    <w:p>
      <w:pPr>
        <w:sectPr>
          <w:pgSz w:w="12240" w:h="15840" w:orient="portrait"/>
          <w:cols w:equalWidth="0" w:num="4">
            <w:col w:w="1480" w:space="720"/>
            <w:col w:w="2340" w:space="460"/>
            <w:col w:w="1460" w:space="540"/>
            <w:col w:w="3020"/>
          </w:cols>
          <w:pgMar w:left="1080" w:top="831" w:right="1140" w:bottom="694" w:gutter="0" w:footer="0" w:header="0"/>
          <w:type w:val="continuous"/>
        </w:sectPr>
      </w:pPr>
    </w:p>
    <w:p>
      <w:pPr>
        <w:ind w:left="2200"/>
        <w:spacing w:after="0"/>
        <w:rPr>
          <w:sz w:val="20"/>
          <w:szCs w:val="20"/>
          <w:color w:val="auto"/>
        </w:rPr>
      </w:pPr>
      <w:r>
        <w:rPr>
          <w:rFonts w:ascii="Times New Roman" w:cs="Times New Roman" w:eastAsia="Times New Roman" w:hAnsi="Times New Roman"/>
          <w:sz w:val="23"/>
          <w:szCs w:val="23"/>
          <w:color w:val="auto"/>
        </w:rPr>
        <w:t>Commission</w:t>
      </w:r>
    </w:p>
    <w:p>
      <w:pPr>
        <w:sectPr>
          <w:pgSz w:w="12240" w:h="15840" w:orient="portrait"/>
          <w:cols w:equalWidth="0" w:num="1">
            <w:col w:w="10020"/>
          </w:cols>
          <w:pgMar w:left="1080" w:top="831" w:right="1140" w:bottom="694" w:gutter="0" w:footer="0" w:header="0"/>
          <w:type w:val="continuous"/>
        </w:sectPr>
      </w:pPr>
    </w:p>
    <w:p>
      <w:pPr>
        <w:spacing w:after="0" w:line="210" w:lineRule="exact"/>
        <w:rPr>
          <w:sz w:val="24"/>
          <w:szCs w:val="24"/>
          <w:color w:val="auto"/>
        </w:rPr>
      </w:pPr>
    </w:p>
    <w:p>
      <w:pPr>
        <w:spacing w:after="0"/>
        <w:tabs>
          <w:tab w:leader="none" w:pos="2180" w:val="left"/>
        </w:tabs>
        <w:rPr>
          <w:sz w:val="20"/>
          <w:szCs w:val="20"/>
          <w:color w:val="auto"/>
        </w:rPr>
      </w:pPr>
      <w:r>
        <w:rPr>
          <w:rFonts w:ascii="Times New Roman" w:cs="Times New Roman" w:eastAsia="Times New Roman" w:hAnsi="Times New Roman"/>
          <w:sz w:val="24"/>
          <w:szCs w:val="24"/>
          <w:b w:val="1"/>
          <w:bCs w:val="1"/>
          <w:color w:val="auto"/>
        </w:rPr>
        <w:t>Staff Contact:</w:t>
      </w:r>
      <w:r>
        <w:rPr>
          <w:sz w:val="20"/>
          <w:szCs w:val="20"/>
          <w:color w:val="auto"/>
        </w:rPr>
        <w:tab/>
      </w:r>
      <w:r>
        <w:rPr>
          <w:rFonts w:ascii="Times New Roman" w:cs="Times New Roman" w:eastAsia="Times New Roman" w:hAnsi="Times New Roman"/>
          <w:sz w:val="23"/>
          <w:szCs w:val="23"/>
          <w:color w:val="auto"/>
        </w:rPr>
        <w:t>Darren Schulz, Public Works Director</w:t>
      </w:r>
    </w:p>
    <w:p>
      <w:pPr>
        <w:spacing w:after="0" w:line="240" w:lineRule="exact"/>
        <w:rPr>
          <w:sz w:val="24"/>
          <w:szCs w:val="24"/>
          <w:color w:val="auto"/>
        </w:rPr>
      </w:pPr>
    </w:p>
    <w:p>
      <w:pPr>
        <w:jc w:val="both"/>
        <w:ind w:left="2200" w:right="20" w:hanging="2195"/>
        <w:spacing w:after="0" w:line="254" w:lineRule="auto"/>
        <w:tabs>
          <w:tab w:leader="none" w:pos="2180" w:val="left"/>
        </w:tabs>
        <w:rPr>
          <w:sz w:val="20"/>
          <w:szCs w:val="20"/>
          <w:color w:val="auto"/>
        </w:rPr>
      </w:pPr>
      <w:r>
        <w:rPr>
          <w:rFonts w:ascii="Times New Roman" w:cs="Times New Roman" w:eastAsia="Times New Roman" w:hAnsi="Times New Roman"/>
          <w:sz w:val="24"/>
          <w:szCs w:val="24"/>
          <w:b w:val="1"/>
          <w:bCs w:val="1"/>
          <w:color w:val="auto"/>
        </w:rPr>
        <w:t>Agenda Title:</w:t>
      </w:r>
      <w:r>
        <w:rPr>
          <w:sz w:val="20"/>
          <w:szCs w:val="20"/>
          <w:color w:val="auto"/>
        </w:rPr>
        <w:tab/>
      </w:r>
      <w:r>
        <w:rPr>
          <w:rFonts w:ascii="Times New Roman" w:cs="Times New Roman" w:eastAsia="Times New Roman" w:hAnsi="Times New Roman"/>
          <w:sz w:val="23"/>
          <w:szCs w:val="23"/>
          <w:color w:val="auto"/>
        </w:rPr>
        <w:t>For Possible Action – Discussion and possible action regarding (1) a proposed Amendment No. 2 (“Amendment”) to Highway Agreement No. PR499-24-063 (“Agreement”) with the Nevada Department of Transportation (“NDOT”) with the Amendment increasing construction funds to the Lompa Multi- Use Path Project (“Project”) through $209,000 in Carbon Reduction Program (“CRP”) funds, plus a 5 percent local match of $11,000, for a total increase of $220,000 to construction costs resulting in a revised total construction cost of $915,250; and</w:t>
      </w:r>
    </w:p>
    <w:p>
      <w:pPr>
        <w:spacing w:after="0" w:line="5" w:lineRule="exact"/>
        <w:rPr>
          <w:sz w:val="24"/>
          <w:szCs w:val="24"/>
          <w:color w:val="auto"/>
        </w:rPr>
      </w:pPr>
    </w:p>
    <w:p>
      <w:pPr>
        <w:jc w:val="both"/>
        <w:ind w:left="2200" w:right="20" w:hanging="4"/>
        <w:spacing w:after="0" w:line="242" w:lineRule="auto"/>
        <w:tabs>
          <w:tab w:leader="none" w:pos="2562"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authorization for the Transportation Manager to execute the Amendment as well as any future amendments to the Agreement regarding extensions of time or changes in funding that do not increase the total amount by more than 10 percent. (Casey Sylvester, Transportation/Traffic Engineer)</w:t>
      </w:r>
    </w:p>
    <w:p>
      <w:pPr>
        <w:spacing w:after="0" w:line="199" w:lineRule="exact"/>
        <w:rPr>
          <w:sz w:val="24"/>
          <w:szCs w:val="24"/>
          <w:color w:val="auto"/>
        </w:rPr>
      </w:pPr>
    </w:p>
    <w:p>
      <w:pPr>
        <w:spacing w:after="0"/>
        <w:tabs>
          <w:tab w:leader="none" w:pos="2180" w:val="left"/>
          <w:tab w:leader="none" w:pos="4980" w:val="left"/>
          <w:tab w:leader="none" w:pos="6980" w:val="left"/>
        </w:tabs>
        <w:rPr>
          <w:sz w:val="20"/>
          <w:szCs w:val="20"/>
          <w:color w:val="auto"/>
        </w:rPr>
      </w:pPr>
      <w:r>
        <w:rPr>
          <w:rFonts w:ascii="Times New Roman" w:cs="Times New Roman" w:eastAsia="Times New Roman" w:hAnsi="Times New Roman"/>
          <w:sz w:val="24"/>
          <w:szCs w:val="24"/>
          <w:b w:val="1"/>
          <w:bCs w:val="1"/>
          <w:color w:val="auto"/>
        </w:rPr>
        <w:t>Agenda Action:</w:t>
      </w:r>
      <w:r>
        <w:rPr>
          <w:sz w:val="20"/>
          <w:szCs w:val="20"/>
          <w:color w:val="auto"/>
        </w:rPr>
        <w:tab/>
      </w:r>
      <w:r>
        <w:rPr>
          <w:rFonts w:ascii="Times New Roman" w:cs="Times New Roman" w:eastAsia="Times New Roman" w:hAnsi="Times New Roman"/>
          <w:sz w:val="24"/>
          <w:szCs w:val="24"/>
          <w:color w:val="auto"/>
        </w:rPr>
        <w:t>Formal Action / Motion</w:t>
      </w:r>
      <w:r>
        <w:rPr>
          <w:sz w:val="20"/>
          <w:szCs w:val="20"/>
          <w:color w:val="auto"/>
        </w:rPr>
        <w:tab/>
      </w:r>
      <w:r>
        <w:rPr>
          <w:rFonts w:ascii="Times New Roman" w:cs="Times New Roman" w:eastAsia="Times New Roman" w:hAnsi="Times New Roman"/>
          <w:sz w:val="24"/>
          <w:szCs w:val="24"/>
          <w:b w:val="1"/>
          <w:bCs w:val="1"/>
          <w:color w:val="auto"/>
        </w:rPr>
        <w:t>Time Requested:</w:t>
      </w:r>
      <w:r>
        <w:rPr>
          <w:sz w:val="20"/>
          <w:szCs w:val="20"/>
          <w:color w:val="auto"/>
        </w:rPr>
        <w:tab/>
      </w:r>
      <w:r>
        <w:rPr>
          <w:rFonts w:ascii="Times New Roman" w:cs="Times New Roman" w:eastAsia="Times New Roman" w:hAnsi="Times New Roman"/>
          <w:sz w:val="23"/>
          <w:szCs w:val="23"/>
          <w:color w:val="auto"/>
        </w:rPr>
        <w:t>5 minutes</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247650</wp:posOffset>
            </wp:positionV>
            <wp:extent cx="6362700" cy="304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extLst>
                    </a:blip>
                    <a:srcRect/>
                    <a:stretch>
                      <a:fillRect/>
                    </a:stretch>
                  </pic:blipFill>
                  <pic:spPr bwMode="auto">
                    <a:xfrm>
                      <a:off x="0" y="0"/>
                      <a:ext cx="6362700" cy="3048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28"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Proposed Motion</w:t>
      </w:r>
    </w:p>
    <w:p>
      <w:pPr>
        <w:spacing w:after="0" w:line="32" w:lineRule="exact"/>
        <w:rPr>
          <w:sz w:val="24"/>
          <w:szCs w:val="24"/>
          <w:color w:val="auto"/>
        </w:rPr>
      </w:pPr>
    </w:p>
    <w:p>
      <w:pPr>
        <w:ind w:right="40"/>
        <w:spacing w:after="0" w:line="244" w:lineRule="auto"/>
        <w:rPr>
          <w:sz w:val="20"/>
          <w:szCs w:val="20"/>
          <w:color w:val="auto"/>
        </w:rPr>
      </w:pPr>
      <w:r>
        <w:rPr>
          <w:rFonts w:ascii="Times New Roman" w:cs="Times New Roman" w:eastAsia="Times New Roman" w:hAnsi="Times New Roman"/>
          <w:sz w:val="24"/>
          <w:szCs w:val="24"/>
          <w:color w:val="auto"/>
        </w:rPr>
        <w:t>I move to approve the Amendment as presented and to authorize the Transportation Manager to execute the Amendment as well as any future amendments to the Agreement regarding extensions of time or changes in funding that do not increase the total amount by more than 10 percent.</w:t>
      </w:r>
    </w:p>
    <w:p>
      <w:pPr>
        <w:spacing w:after="0" w:line="194"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Board's Strategic Goal</w:t>
      </w:r>
    </w:p>
    <w:p>
      <w:pPr>
        <w:spacing w:after="0" w:line="32"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N/A</w:t>
      </w:r>
    </w:p>
    <w:p>
      <w:pPr>
        <w:spacing w:after="0" w:line="208"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Previous Action</w:t>
      </w:r>
    </w:p>
    <w:p>
      <w:pPr>
        <w:spacing w:after="0" w:line="32" w:lineRule="exact"/>
        <w:rPr>
          <w:sz w:val="24"/>
          <w:szCs w:val="24"/>
          <w:color w:val="auto"/>
        </w:rPr>
      </w:pPr>
    </w:p>
    <w:p>
      <w:pPr>
        <w:ind w:right="100"/>
        <w:spacing w:after="0" w:line="269" w:lineRule="auto"/>
        <w:rPr>
          <w:sz w:val="20"/>
          <w:szCs w:val="20"/>
          <w:color w:val="auto"/>
        </w:rPr>
      </w:pPr>
      <w:r>
        <w:rPr>
          <w:rFonts w:ascii="Times New Roman" w:cs="Times New Roman" w:eastAsia="Times New Roman" w:hAnsi="Times New Roman"/>
          <w:sz w:val="23"/>
          <w:szCs w:val="23"/>
          <w:color w:val="auto"/>
        </w:rPr>
        <w:t>August 14, 2024 (Item 5.B) – The Regional Transportation Commission (“RTC”) approved the Agreement to use $766,000 in Transportation Alternative Program (“TAP”) grant funds for the Project.</w:t>
      </w:r>
    </w:p>
    <w:p>
      <w:pPr>
        <w:spacing w:after="0" w:line="209" w:lineRule="exact"/>
        <w:rPr>
          <w:sz w:val="24"/>
          <w:szCs w:val="24"/>
          <w:color w:val="auto"/>
        </w:rPr>
      </w:pPr>
    </w:p>
    <w:p>
      <w:pPr>
        <w:ind w:right="40"/>
        <w:spacing w:after="0" w:line="271" w:lineRule="auto"/>
        <w:rPr>
          <w:sz w:val="20"/>
          <w:szCs w:val="20"/>
          <w:color w:val="auto"/>
        </w:rPr>
      </w:pPr>
      <w:r>
        <w:rPr>
          <w:rFonts w:ascii="Times New Roman" w:cs="Times New Roman" w:eastAsia="Times New Roman" w:hAnsi="Times New Roman"/>
          <w:sz w:val="24"/>
          <w:szCs w:val="24"/>
          <w:color w:val="auto"/>
        </w:rPr>
        <w:t>March 8, 2023 (Item 5.C) – The RTC approved the submittal of a TAP grant application to NDOT for the Project.</w:t>
      </w:r>
    </w:p>
    <w:p>
      <w:pPr>
        <w:spacing w:after="0" w:line="163"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Background/Issues &amp; Analysis</w:t>
      </w:r>
    </w:p>
    <w:p>
      <w:pPr>
        <w:spacing w:after="0" w:line="32" w:lineRule="exact"/>
        <w:rPr>
          <w:sz w:val="24"/>
          <w:szCs w:val="24"/>
          <w:color w:val="auto"/>
        </w:rPr>
      </w:pPr>
    </w:p>
    <w:p>
      <w:pPr>
        <w:jc w:val="both"/>
        <w:spacing w:after="0" w:line="241" w:lineRule="auto"/>
        <w:rPr>
          <w:sz w:val="20"/>
          <w:szCs w:val="20"/>
          <w:color w:val="auto"/>
        </w:rPr>
      </w:pPr>
      <w:r>
        <w:rPr>
          <w:rFonts w:ascii="Times New Roman" w:cs="Times New Roman" w:eastAsia="Times New Roman" w:hAnsi="Times New Roman"/>
          <w:sz w:val="24"/>
          <w:szCs w:val="24"/>
          <w:color w:val="auto"/>
        </w:rPr>
        <w:t>RTC previously completed work for a multi-use path between Airport Road at 5th Street, and N. Lompa Lane at Modoc Court. That project was planned to construct multi-use path to US Highway 50; however, due to funding constraints at the time, the final segment was removed from the construction. The RTC received a TAP grant to fund the Project, which is being used to construct the long-identified remaining portion of multi-use path between Modoc Count and US Highway 50. The planned terminus at the intersection of US Highway 50 and N. Lompa Lane allows cyclists and pedestrians to safely access existing bike lanes and sidewalks present along US 50, allowing for a safer and more connected</w:t>
      </w:r>
    </w:p>
    <w:p>
      <w:pPr>
        <w:sectPr>
          <w:pgSz w:w="12240" w:h="15840" w:orient="portrait"/>
          <w:cols w:equalWidth="0" w:num="1">
            <w:col w:w="10020"/>
          </w:cols>
          <w:pgMar w:left="1080" w:top="831" w:right="1140" w:bottom="694" w:gutter="0" w:footer="0" w:header="0"/>
          <w:type w:val="continuous"/>
        </w:sectPr>
      </w:pPr>
    </w:p>
    <w:p>
      <w:pPr>
        <w:ind w:right="40"/>
        <w:spacing w:after="0" w:line="271" w:lineRule="auto"/>
        <w:rPr>
          <w:sz w:val="20"/>
          <w:szCs w:val="20"/>
          <w:color w:val="auto"/>
        </w:rPr>
      </w:pPr>
      <w:r>
        <w:rPr>
          <w:rFonts w:ascii="Times New Roman" w:cs="Times New Roman" w:eastAsia="Times New Roman" w:hAnsi="Times New Roman"/>
          <w:sz w:val="24"/>
          <w:szCs w:val="24"/>
          <w:color w:val="auto"/>
        </w:rPr>
        <w:t>multi-modal transportation network. The total federal TAP funds in the project is $766,000 with an associated 5% local match of $40,316.</w:t>
      </w:r>
    </w:p>
    <w:p>
      <w:pPr>
        <w:spacing w:after="0" w:line="205" w:lineRule="exact"/>
        <w:rPr>
          <w:sz w:val="20"/>
          <w:szCs w:val="20"/>
          <w:color w:val="auto"/>
        </w:rPr>
      </w:pPr>
    </w:p>
    <w:p>
      <w:pPr>
        <w:jc w:val="both"/>
        <w:spacing w:after="0" w:line="245" w:lineRule="auto"/>
        <w:rPr>
          <w:sz w:val="20"/>
          <w:szCs w:val="20"/>
          <w:color w:val="auto"/>
        </w:rPr>
      </w:pPr>
      <w:r>
        <w:rPr>
          <w:rFonts w:ascii="Times New Roman" w:cs="Times New Roman" w:eastAsia="Times New Roman" w:hAnsi="Times New Roman"/>
          <w:sz w:val="24"/>
          <w:szCs w:val="24"/>
          <w:color w:val="auto"/>
        </w:rPr>
        <w:t>In January of 2025, staff executed a no- cost amendment to reallocate unused preliminary engineering activity funds to construction activities. Amendment 2 will add CRP funding to cover cost increases associated with hydraulic and lighting improvements, as requested by NDOT, as well as increases associated with continued inflation. Combined with the TAP funding, the total federal funding for the Project is $975,000, and the total local match is $51,316. TAP and CRP funding cannot be used for reconstructing roadway pavement. The Project is expected to advertise for construction in April 2026 and begin construction in the summer of 2026.</w:t>
      </w:r>
    </w:p>
    <w:p>
      <w:pPr>
        <w:spacing w:after="0" w:line="194" w:lineRule="exact"/>
        <w:rPr>
          <w:sz w:val="20"/>
          <w:szCs w:val="20"/>
          <w:color w:val="auto"/>
        </w:rPr>
      </w:pPr>
    </w:p>
    <w:p>
      <w:pPr>
        <w:ind w:right="4660"/>
        <w:spacing w:after="0" w:line="276" w:lineRule="auto"/>
        <w:rPr>
          <w:sz w:val="20"/>
          <w:szCs w:val="20"/>
          <w:color w:val="auto"/>
        </w:rPr>
      </w:pPr>
      <w:r>
        <w:rPr>
          <w:rFonts w:ascii="Times New Roman" w:cs="Times New Roman" w:eastAsia="Times New Roman" w:hAnsi="Times New Roman"/>
          <w:sz w:val="24"/>
          <w:szCs w:val="24"/>
          <w:b w:val="1"/>
          <w:bCs w:val="1"/>
          <w:u w:val="single" w:color="auto"/>
          <w:color w:val="auto"/>
        </w:rPr>
        <w:t xml:space="preserve">Applicable Statute, Code, Policy, Rule or Regulation </w:t>
      </w:r>
      <w:r>
        <w:rPr>
          <w:rFonts w:ascii="Times New Roman" w:cs="Times New Roman" w:eastAsia="Times New Roman" w:hAnsi="Times New Roman"/>
          <w:sz w:val="24"/>
          <w:szCs w:val="24"/>
          <w:color w:val="auto"/>
        </w:rPr>
        <w:t>NRS 277.180, 277A.270</w:t>
      </w:r>
    </w:p>
    <w:p>
      <w:pPr>
        <w:spacing w:after="0" w:line="157"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Financial Information</w:t>
      </w:r>
    </w:p>
    <w:p>
      <w:pPr>
        <w:spacing w:after="0" w:line="32" w:lineRule="exact"/>
        <w:rPr>
          <w:sz w:val="20"/>
          <w:szCs w:val="20"/>
          <w:color w:val="auto"/>
        </w:rPr>
      </w:pPr>
    </w:p>
    <w:p>
      <w:pPr>
        <w:spacing w:after="0"/>
        <w:tabs>
          <w:tab w:leader="none" w:pos="2660" w:val="left"/>
        </w:tabs>
        <w:rPr>
          <w:sz w:val="20"/>
          <w:szCs w:val="20"/>
          <w:color w:val="auto"/>
        </w:rPr>
      </w:pPr>
      <w:r>
        <w:rPr>
          <w:rFonts w:ascii="Times New Roman" w:cs="Times New Roman" w:eastAsia="Times New Roman" w:hAnsi="Times New Roman"/>
          <w:sz w:val="24"/>
          <w:szCs w:val="24"/>
          <w:b w:val="1"/>
          <w:bCs w:val="1"/>
          <w:color w:val="auto"/>
        </w:rPr>
        <w:t>Is there a fiscal impact?</w:t>
      </w:r>
      <w:r>
        <w:rPr>
          <w:sz w:val="20"/>
          <w:szCs w:val="20"/>
          <w:color w:val="auto"/>
        </w:rPr>
        <w:tab/>
      </w:r>
      <w:r>
        <w:rPr>
          <w:rFonts w:ascii="Times New Roman" w:cs="Times New Roman" w:eastAsia="Times New Roman" w:hAnsi="Times New Roman"/>
          <w:sz w:val="23"/>
          <w:szCs w:val="23"/>
          <w:color w:val="auto"/>
        </w:rPr>
        <w:t>Yes</w:t>
      </w:r>
    </w:p>
    <w:p>
      <w:pPr>
        <w:spacing w:after="0" w:line="208" w:lineRule="exact"/>
        <w:rPr>
          <w:sz w:val="20"/>
          <w:szCs w:val="20"/>
          <w:color w:val="auto"/>
        </w:rPr>
      </w:pPr>
    </w:p>
    <w:p>
      <w:pPr>
        <w:ind w:right="560"/>
        <w:spacing w:after="0" w:line="258" w:lineRule="auto"/>
        <w:rPr>
          <w:sz w:val="20"/>
          <w:szCs w:val="20"/>
          <w:color w:val="auto"/>
        </w:rPr>
      </w:pPr>
      <w:r>
        <w:rPr>
          <w:rFonts w:ascii="Times New Roman" w:cs="Times New Roman" w:eastAsia="Times New Roman" w:hAnsi="Times New Roman"/>
          <w:sz w:val="24"/>
          <w:szCs w:val="24"/>
          <w:b w:val="1"/>
          <w:bCs w:val="1"/>
          <w:color w:val="auto"/>
        </w:rPr>
        <w:t>If yes, account name/number:</w:t>
      </w:r>
      <w:r>
        <w:rPr>
          <w:rFonts w:ascii="Times New Roman" w:cs="Times New Roman" w:eastAsia="Times New Roman" w:hAnsi="Times New Roman"/>
          <w:sz w:val="24"/>
          <w:szCs w:val="24"/>
          <w:color w:val="auto"/>
        </w:rPr>
        <w:t xml:space="preserve"> Project No. P303525006. For revenue – Regional Transportation Fund, Federal Grants / 2503082-431010. For expenses – Regional Transportation fund, Capital Improvements / 2503035-507010.</w:t>
      </w:r>
    </w:p>
    <w:p>
      <w:pPr>
        <w:spacing w:after="0" w:line="17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Is it currently budgeted?</w:t>
      </w:r>
      <w:r>
        <w:rPr>
          <w:rFonts w:ascii="Times New Roman" w:cs="Times New Roman" w:eastAsia="Times New Roman" w:hAnsi="Times New Roman"/>
          <w:sz w:val="24"/>
          <w:szCs w:val="24"/>
          <w:color w:val="auto"/>
        </w:rPr>
        <w:t xml:space="preserve">  No</w:t>
      </w:r>
    </w:p>
    <w:p>
      <w:pPr>
        <w:spacing w:after="0" w:line="240" w:lineRule="exact"/>
        <w:rPr>
          <w:sz w:val="20"/>
          <w:szCs w:val="20"/>
          <w:color w:val="auto"/>
        </w:rPr>
      </w:pPr>
    </w:p>
    <w:p>
      <w:pPr>
        <w:spacing w:after="0" w:line="252" w:lineRule="auto"/>
        <w:rPr>
          <w:sz w:val="20"/>
          <w:szCs w:val="20"/>
          <w:color w:val="auto"/>
        </w:rPr>
      </w:pPr>
      <w:r>
        <w:rPr>
          <w:rFonts w:ascii="Times New Roman" w:cs="Times New Roman" w:eastAsia="Times New Roman" w:hAnsi="Times New Roman"/>
          <w:sz w:val="24"/>
          <w:szCs w:val="24"/>
          <w:b w:val="1"/>
          <w:bCs w:val="1"/>
          <w:color w:val="auto"/>
        </w:rPr>
        <w:t>Explanation of Fiscal Impact:</w:t>
      </w:r>
      <w:r>
        <w:rPr>
          <w:rFonts w:ascii="Times New Roman" w:cs="Times New Roman" w:eastAsia="Times New Roman" w:hAnsi="Times New Roman"/>
          <w:sz w:val="24"/>
          <w:szCs w:val="24"/>
          <w:color w:val="auto"/>
        </w:rPr>
        <w:t xml:space="preserve"> Project No. P303525006. If approved, Revenue and the Project budget will be augmented to receive $209,000 in CRP funds. CRP funds require a 5 percent local match of $11,000, which will come from the Project’s existing budget, which has an available balance of $73,950 not subject to local match.</w:t>
      </w:r>
    </w:p>
    <w:p>
      <w:pPr>
        <w:spacing w:after="0" w:line="185"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Alternatives</w:t>
      </w:r>
    </w:p>
    <w:p>
      <w:pPr>
        <w:spacing w:after="0" w:line="3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Do not approve the Amendment and provide an alternative direction to staff.</w:t>
      </w:r>
    </w:p>
    <w:p>
      <w:pPr>
        <w:spacing w:after="0" w:line="20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Attachment(s):</w:t>
      </w:r>
    </w:p>
    <w:p>
      <w:pPr>
        <w:spacing w:after="0" w:line="32" w:lineRule="exact"/>
        <w:rPr>
          <w:sz w:val="20"/>
          <w:szCs w:val="20"/>
          <w:color w:val="auto"/>
        </w:rPr>
      </w:pPr>
    </w:p>
    <w:p>
      <w:pPr>
        <w:spacing w:after="0"/>
        <w:rPr>
          <w:rFonts w:ascii="Times New Roman" w:cs="Times New Roman" w:eastAsia="Times New Roman" w:hAnsi="Times New Roman"/>
          <w:sz w:val="24"/>
          <w:szCs w:val="24"/>
          <w:color w:val="0000EE"/>
        </w:rPr>
      </w:pPr>
      <w:hyperlink r:id="rId14">
        <w:r>
          <w:rPr>
            <w:rFonts w:ascii="Times New Roman" w:cs="Times New Roman" w:eastAsia="Times New Roman" w:hAnsi="Times New Roman"/>
            <w:sz w:val="24"/>
            <w:szCs w:val="24"/>
            <w:color w:val="0000EE"/>
          </w:rPr>
          <w:t>5C_RTC_Exhibit 1 - Lompa LPA Amendment 2 to PR499-24-063.pdf</w:t>
        </w:r>
      </w:hyperlink>
    </w:p>
    <w:p>
      <w:pPr>
        <w:spacing w:after="0" w:line="250" w:lineRule="exact"/>
        <w:rPr>
          <w:sz w:val="20"/>
          <w:szCs w:val="20"/>
          <w:color w:val="auto"/>
        </w:rPr>
      </w:pPr>
    </w:p>
    <w:p>
      <w:pPr>
        <w:spacing w:after="0"/>
        <w:rPr>
          <w:rFonts w:ascii="Times New Roman" w:cs="Times New Roman" w:eastAsia="Times New Roman" w:hAnsi="Times New Roman"/>
          <w:sz w:val="24"/>
          <w:szCs w:val="24"/>
          <w:color w:val="0000EE"/>
        </w:rPr>
      </w:pPr>
      <w:hyperlink r:id="rId15">
        <w:r>
          <w:rPr>
            <w:rFonts w:ascii="Times New Roman" w:cs="Times New Roman" w:eastAsia="Times New Roman" w:hAnsi="Times New Roman"/>
            <w:sz w:val="24"/>
            <w:szCs w:val="24"/>
            <w:color w:val="0000EE"/>
          </w:rPr>
          <w:t>5C_RTC_Exhibit 2 - Lompa LPA Amendment 1.pdf</w:t>
        </w:r>
      </w:hyperlink>
    </w:p>
    <w:p>
      <w:pPr>
        <w:spacing w:after="0" w:line="276" w:lineRule="exact"/>
        <w:rPr>
          <w:sz w:val="20"/>
          <w:szCs w:val="20"/>
          <w:color w:val="auto"/>
        </w:rPr>
      </w:pPr>
    </w:p>
    <w:p>
      <w:pPr>
        <w:spacing w:after="0"/>
        <w:rPr>
          <w:rFonts w:ascii="Times New Roman" w:cs="Times New Roman" w:eastAsia="Times New Roman" w:hAnsi="Times New Roman"/>
          <w:sz w:val="24"/>
          <w:szCs w:val="24"/>
          <w:color w:val="0000EE"/>
        </w:rPr>
      </w:pPr>
      <w:hyperlink r:id="rId16">
        <w:r>
          <w:rPr>
            <w:rFonts w:ascii="Times New Roman" w:cs="Times New Roman" w:eastAsia="Times New Roman" w:hAnsi="Times New Roman"/>
            <w:sz w:val="24"/>
            <w:szCs w:val="24"/>
            <w:color w:val="0000EE"/>
          </w:rPr>
          <w:t>5C_RTC_Exhibit 3 - Lompa LPA Agreement as Executed.pdf</w:t>
        </w:r>
      </w:hyperlink>
    </w:p>
    <w:p>
      <w:pPr>
        <w:spacing w:after="0" w:line="200" w:lineRule="exact"/>
        <w:rPr>
          <w:sz w:val="20"/>
          <w:szCs w:val="20"/>
          <w:color w:val="auto"/>
        </w:rPr>
      </w:pPr>
    </w:p>
    <w:p>
      <w:pPr>
        <w:spacing w:after="0" w:line="316" w:lineRule="exact"/>
        <w:rPr>
          <w:sz w:val="20"/>
          <w:szCs w:val="20"/>
          <w:color w:val="auto"/>
        </w:rPr>
      </w:pPr>
    </w:p>
    <w:tbl>
      <w:tblPr>
        <w:tblLayout w:type="fixed"/>
        <w:tblInd w:w="0" w:type="dxa"/>
        <w:tblCellMar>
          <w:top w:w="0" w:type="dxa"/>
          <w:left w:w="0" w:type="dxa"/>
          <w:bottom w:w="0" w:type="dxa"/>
          <w:right w:w="0" w:type="dxa"/>
        </w:tblCellMar>
      </w:tblPr>
      <w:tr>
        <w:trPr>
          <w:trHeight w:val="276"/>
        </w:trPr>
        <w:tc>
          <w:tcPr>
            <w:tcW w:w="3820" w:type="dxa"/>
            <w:vAlign w:val="bottom"/>
          </w:tcPr>
          <w:p>
            <w:pPr>
              <w:spacing w:after="0"/>
              <w:rPr>
                <w:sz w:val="20"/>
                <w:szCs w:val="20"/>
                <w:color w:val="auto"/>
              </w:rPr>
            </w:pPr>
            <w:r>
              <w:rPr>
                <w:rFonts w:ascii="Times New Roman" w:cs="Times New Roman" w:eastAsia="Times New Roman" w:hAnsi="Times New Roman"/>
                <w:sz w:val="24"/>
                <w:szCs w:val="24"/>
                <w:color w:val="auto"/>
              </w:rPr>
              <w:t>Motion: _________________</w:t>
            </w:r>
          </w:p>
        </w:tc>
        <w:tc>
          <w:tcPr>
            <w:tcW w:w="2720" w:type="dxa"/>
            <w:vAlign w:val="bottom"/>
          </w:tcPr>
          <w:p>
            <w:pPr>
              <w:jc w:val="right"/>
              <w:ind w:right="320"/>
              <w:spacing w:after="0"/>
              <w:rPr>
                <w:sz w:val="20"/>
                <w:szCs w:val="20"/>
                <w:color w:val="auto"/>
              </w:rPr>
            </w:pPr>
            <w:r>
              <w:rPr>
                <w:rFonts w:ascii="Times New Roman" w:cs="Times New Roman" w:eastAsia="Times New Roman" w:hAnsi="Times New Roman"/>
                <w:sz w:val="24"/>
                <w:szCs w:val="24"/>
                <w:color w:val="auto"/>
              </w:rPr>
              <w:t>1) ________________</w:t>
            </w: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rPr>
              <w:t>Aye/Nay</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jc w:val="right"/>
              <w:ind w:right="320"/>
              <w:spacing w:after="0"/>
              <w:rPr>
                <w:sz w:val="20"/>
                <w:szCs w:val="20"/>
                <w:color w:val="auto"/>
              </w:rPr>
            </w:pPr>
            <w:r>
              <w:rPr>
                <w:rFonts w:ascii="Times New Roman" w:cs="Times New Roman" w:eastAsia="Times New Roman" w:hAnsi="Times New Roman"/>
                <w:sz w:val="24"/>
                <w:szCs w:val="24"/>
                <w:color w:val="auto"/>
              </w:rPr>
              <w:t>2) ________________</w:t>
            </w: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312"/>
        </w:trPr>
        <w:tc>
          <w:tcPr>
            <w:tcW w:w="3820" w:type="dxa"/>
            <w:vAlign w:val="bottom"/>
            <w:vMerge w:val="restart"/>
          </w:tcPr>
          <w:p>
            <w:pPr>
              <w:jc w:val="right"/>
              <w:spacing w:after="0"/>
              <w:rPr>
                <w:sz w:val="20"/>
                <w:szCs w:val="20"/>
                <w:color w:val="auto"/>
              </w:rPr>
            </w:pPr>
            <w:r>
              <w:rPr>
                <w:rFonts w:ascii="Times New Roman" w:cs="Times New Roman" w:eastAsia="Times New Roman" w:hAnsi="Times New Roman"/>
                <w:sz w:val="24"/>
                <w:szCs w:val="24"/>
                <w:color w:val="auto"/>
              </w:rPr>
              <w:t>_____________________________</w:t>
            </w: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40"/>
        </w:trPr>
        <w:tc>
          <w:tcPr>
            <w:tcW w:w="3820" w:type="dxa"/>
            <w:vAlign w:val="bottom"/>
            <w:vMerge w:val="continue"/>
          </w:tcPr>
          <w:p>
            <w:pPr>
              <w:spacing w:after="0"/>
              <w:rPr>
                <w:sz w:val="20"/>
                <w:szCs w:val="20"/>
                <w:color w:val="auto"/>
              </w:rPr>
            </w:pPr>
          </w:p>
        </w:tc>
        <w:tc>
          <w:tcPr>
            <w:tcW w:w="2720" w:type="dxa"/>
            <w:vAlign w:val="bottom"/>
          </w:tcPr>
          <w:p>
            <w:pPr>
              <w:spacing w:after="0"/>
              <w:rPr>
                <w:sz w:val="20"/>
                <w:szCs w:val="20"/>
                <w:color w:val="auto"/>
              </w:rPr>
            </w:pPr>
          </w:p>
        </w:tc>
        <w:tc>
          <w:tcPr>
            <w:tcW w:w="168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312"/>
        </w:trPr>
        <w:tc>
          <w:tcPr>
            <w:tcW w:w="3820" w:type="dxa"/>
            <w:vAlign w:val="bottom"/>
          </w:tcPr>
          <w:p>
            <w:pPr>
              <w:jc w:val="center"/>
              <w:ind w:left="60"/>
              <w:spacing w:after="0"/>
              <w:rPr>
                <w:sz w:val="20"/>
                <w:szCs w:val="20"/>
                <w:color w:val="auto"/>
              </w:rPr>
            </w:pPr>
            <w:r>
              <w:rPr>
                <w:rFonts w:ascii="Times New Roman" w:cs="Times New Roman" w:eastAsia="Times New Roman" w:hAnsi="Times New Roman"/>
                <w:sz w:val="24"/>
                <w:szCs w:val="24"/>
                <w:color w:val="auto"/>
              </w:rPr>
              <w:t>(Vote Recorded By)</w:t>
            </w:r>
          </w:p>
        </w:tc>
        <w:tc>
          <w:tcPr>
            <w:tcW w:w="2720" w:type="dxa"/>
            <w:vAlign w:val="bottom"/>
          </w:tcPr>
          <w:p>
            <w:pPr>
              <w:spacing w:after="0"/>
              <w:rPr>
                <w:sz w:val="24"/>
                <w:szCs w:val="24"/>
                <w:color w:val="auto"/>
              </w:rPr>
            </w:pPr>
          </w:p>
        </w:tc>
        <w:tc>
          <w:tcPr>
            <w:tcW w:w="1680" w:type="dxa"/>
            <w:vAlign w:val="bottom"/>
          </w:tcPr>
          <w:p>
            <w:pPr>
              <w:spacing w:after="0"/>
              <w:rPr>
                <w:sz w:val="24"/>
                <w:szCs w:val="24"/>
                <w:color w:val="auto"/>
              </w:rPr>
            </w:pPr>
          </w:p>
        </w:tc>
        <w:tc>
          <w:tcPr>
            <w:tcW w:w="0" w:type="dxa"/>
            <w:vAlign w:val="bottom"/>
          </w:tcPr>
          <w:p>
            <w:pPr>
              <w:spacing w:after="0"/>
              <w:rPr>
                <w:sz w:val="1"/>
                <w:szCs w:val="1"/>
                <w:color w:val="auto"/>
              </w:rPr>
            </w:pPr>
          </w:p>
        </w:tc>
      </w:tr>
    </w:tbl>
    <w:p>
      <w:pPr>
        <w:spacing w:after="0" w:line="1" w:lineRule="exact"/>
        <w:rPr>
          <w:sz w:val="20"/>
          <w:szCs w:val="20"/>
          <w:color w:val="auto"/>
        </w:rPr>
      </w:pPr>
    </w:p>
    <w:sectPr>
      <w:pgSz w:w="12240" w:h="15840" w:orient="portrait"/>
      <w:cols w:equalWidth="0" w:num="1">
        <w:col w:w="10020"/>
      </w:cols>
      <w:pgMar w:left="1080" w:top="831" w:right="11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http://schemas.openxmlformats.org/wordprocessingml/2006/main">
  <w:abstractNum w:abstractNumId="0">
    <w:nsid w:val="72AE"/>
    <w:multiLevelType w:val="hybridMultilevel"/>
    <w:lvl w:ilvl="0">
      <w:lvlJc w:val="left"/>
      <w:lvlText w:val="(%1)"/>
      <w:numFmt w:val="decimal"/>
      <w:start w:val="2"/>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1" Type="http://schemas.openxmlformats.org/officeDocument/2006/relationships/numbering" Target="numbering.xml"/><Relationship Id="rId12" Type="http://schemas.openxmlformats.org/officeDocument/2006/relationships/image" Target="media/image1.jpeg"/><Relationship Id="rId13" Type="http://schemas.openxmlformats.org/officeDocument/2006/relationships/image" Target="media/image2.png"/><Relationship Id="rId14" Type="http://schemas.openxmlformats.org/officeDocument/2006/relationships/hyperlink" Target="https://carsoncity.granicus.com/services/legistar/download/pdf/4011416/5C_RTC_Exhibit_1_-_Lompa_LPA_Amendment_2_to_PR499-24-063.pdf" TargetMode="External"/><Relationship Id="rId15" Type="http://schemas.openxmlformats.org/officeDocument/2006/relationships/hyperlink" Target="https://carsoncity.granicus.com/services/legistar/download/pdf/4011428/5C_RTC_Exhibit_2_-_Lompa_LPA_Amendment_1.pdf" TargetMode="External"/><Relationship Id="rId16" Type="http://schemas.openxmlformats.org/officeDocument/2006/relationships/hyperlink" Target="https://carsoncity.granicus.com/services/legistar/download/pdf/4011429/5C_RTC_Exhibit_3_-_Lompa_LPA_Agreement_as_Executed.pdf"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2026-04-02T16:55:42Z</dcterms:created>
  <dcterms:modified xsi:type="dcterms:W3CDTF">2026-04-02T16:55:42Z</dcterms:modified>
</cp:coreProperties>
</file>