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png" ContentType="image/pn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p>
      <w:pPr>
        <w:ind w:left="7880"/>
        <w:spacing w:after="0"/>
        <w:rPr>
          <w:sz w:val="20"/>
          <w:szCs w:val="20"/>
          <w:color w:val="auto"/>
        </w:rPr>
      </w:pPr>
      <w:r>
        <w:rPr>
          <w:rFonts w:ascii="Times New Roman" w:cs="Times New Roman" w:eastAsia="Times New Roman" w:hAnsi="Times New Roman"/>
          <w:sz w:val="23"/>
          <w:szCs w:val="23"/>
          <w:color w:val="auto"/>
        </w:rPr>
        <w:t>Agenda Item No: 11.c</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0</wp:posOffset>
            </wp:positionH>
            <wp:positionV relativeFrom="paragraph">
              <wp:posOffset>22225</wp:posOffset>
            </wp:positionV>
            <wp:extent cx="1234440" cy="9220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extLst>
                    </a:blip>
                    <a:srcRect/>
                    <a:stretch>
                      <a:fillRect/>
                    </a:stretch>
                  </pic:blipFill>
                  <pic:spPr bwMode="auto">
                    <a:xfrm>
                      <a:off x="0" y="0"/>
                      <a:ext cx="1234440" cy="922020"/>
                    </a:xfrm>
                    <a:prstGeom prst="rect">
                      <a:avLst/>
                    </a:prstGeom>
                    <a:noFill/>
                  </pic:spPr>
                </pic:pic>
              </a:graphicData>
            </a:graphic>
          </wp:anchor>
        </w:drawing>
      </w:r>
    </w:p>
    <w:p>
      <w:pPr>
        <w:spacing w:after="0" w:line="200" w:lineRule="exact"/>
        <w:rPr>
          <w:sz w:val="24"/>
          <w:szCs w:val="24"/>
          <w:color w:val="auto"/>
        </w:rPr>
      </w:pPr>
    </w:p>
    <w:p>
      <w:pPr>
        <w:spacing w:after="0" w:line="323" w:lineRule="exact"/>
        <w:rPr>
          <w:sz w:val="24"/>
          <w:szCs w:val="24"/>
          <w:color w:val="auto"/>
        </w:rPr>
      </w:pPr>
    </w:p>
    <w:p>
      <w:pPr>
        <w:ind w:left="2200"/>
        <w:spacing w:after="0"/>
        <w:rPr>
          <w:sz w:val="20"/>
          <w:szCs w:val="20"/>
          <w:color w:val="auto"/>
        </w:rPr>
      </w:pPr>
      <w:r>
        <w:rPr>
          <w:rFonts w:ascii="Times New Roman" w:cs="Times New Roman" w:eastAsia="Times New Roman" w:hAnsi="Times New Roman"/>
          <w:sz w:val="36"/>
          <w:szCs w:val="36"/>
          <w:b w:val="1"/>
          <w:bCs w:val="1"/>
          <w:color w:val="auto"/>
        </w:rPr>
        <w:t>STAFF REPORT</w:t>
      </w:r>
    </w:p>
    <w:p>
      <w:pPr>
        <w:sectPr>
          <w:pgSz w:w="12240" w:h="15840" w:orient="portrait"/>
          <w:cols w:equalWidth="0" w:num="1">
            <w:col w:w="10020"/>
          </w:cols>
          <w:pgMar w:left="1080" w:top="831" w:right="1140" w:bottom="682" w:gutter="0" w:footer="0" w:header="0"/>
        </w:sectPr>
      </w:pPr>
    </w:p>
    <w:p>
      <w:pPr>
        <w:spacing w:after="0" w:line="200" w:lineRule="exact"/>
        <w:rPr>
          <w:sz w:val="24"/>
          <w:szCs w:val="24"/>
          <w:color w:val="auto"/>
        </w:rPr>
      </w:pPr>
    </w:p>
    <w:p>
      <w:pPr>
        <w:spacing w:after="0" w:line="200" w:lineRule="exact"/>
        <w:rPr>
          <w:sz w:val="24"/>
          <w:szCs w:val="24"/>
          <w:color w:val="auto"/>
        </w:rPr>
      </w:pPr>
    </w:p>
    <w:p>
      <w:pPr>
        <w:spacing w:after="0" w:line="341" w:lineRule="exact"/>
        <w:rPr>
          <w:sz w:val="24"/>
          <w:szCs w:val="24"/>
          <w:color w:val="auto"/>
        </w:rPr>
      </w:pPr>
    </w:p>
    <w:p>
      <w:pPr>
        <w:spacing w:after="0"/>
        <w:rPr>
          <w:sz w:val="20"/>
          <w:szCs w:val="20"/>
          <w:color w:val="auto"/>
        </w:rPr>
      </w:pPr>
      <w:r>
        <w:rPr>
          <w:rFonts w:ascii="Times New Roman" w:cs="Times New Roman" w:eastAsia="Times New Roman" w:hAnsi="Times New Roman"/>
          <w:sz w:val="23"/>
          <w:szCs w:val="23"/>
          <w:b w:val="1"/>
          <w:bCs w:val="1"/>
          <w:color w:val="auto"/>
        </w:rPr>
        <w:t>Report To:</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327" w:lineRule="exact"/>
        <w:rPr>
          <w:sz w:val="24"/>
          <w:szCs w:val="24"/>
          <w:color w:val="auto"/>
        </w:rPr>
      </w:pPr>
    </w:p>
    <w:p>
      <w:pPr>
        <w:spacing w:after="0"/>
        <w:rPr>
          <w:sz w:val="20"/>
          <w:szCs w:val="20"/>
          <w:color w:val="auto"/>
        </w:rPr>
      </w:pPr>
      <w:r>
        <w:rPr>
          <w:rFonts w:ascii="Times New Roman" w:cs="Times New Roman" w:eastAsia="Times New Roman" w:hAnsi="Times New Roman"/>
          <w:sz w:val="23"/>
          <w:szCs w:val="23"/>
          <w:color w:val="auto"/>
        </w:rPr>
        <w:t>Board of Supervisors</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321"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Meeting Date:</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327" w:lineRule="exact"/>
        <w:rPr>
          <w:sz w:val="24"/>
          <w:szCs w:val="24"/>
          <w:color w:val="auto"/>
        </w:rPr>
      </w:pPr>
    </w:p>
    <w:p>
      <w:pPr>
        <w:spacing w:after="0"/>
        <w:rPr>
          <w:sz w:val="20"/>
          <w:szCs w:val="20"/>
          <w:color w:val="auto"/>
        </w:rPr>
      </w:pPr>
      <w:r>
        <w:rPr>
          <w:rFonts w:ascii="Times New Roman" w:cs="Times New Roman" w:eastAsia="Times New Roman" w:hAnsi="Times New Roman"/>
          <w:sz w:val="23"/>
          <w:szCs w:val="23"/>
          <w:color w:val="auto"/>
        </w:rPr>
        <w:t>April 16, 2026</w:t>
      </w:r>
    </w:p>
    <w:p>
      <w:pPr>
        <w:spacing w:after="0" w:line="205" w:lineRule="exact"/>
        <w:rPr>
          <w:sz w:val="24"/>
          <w:szCs w:val="24"/>
          <w:color w:val="auto"/>
        </w:rPr>
      </w:pPr>
    </w:p>
    <w:p>
      <w:pPr>
        <w:sectPr>
          <w:pgSz w:w="12240" w:h="15840" w:orient="portrait"/>
          <w:cols w:equalWidth="0" w:num="4">
            <w:col w:w="1480" w:space="720"/>
            <w:col w:w="2080" w:space="720"/>
            <w:col w:w="1460" w:space="540"/>
            <w:col w:w="3020"/>
          </w:cols>
          <w:pgMar w:left="1080" w:top="831" w:right="1140" w:bottom="682" w:gutter="0" w:footer="0" w:header="0"/>
          <w:type w:val="continuous"/>
        </w:sectPr>
      </w:pPr>
    </w:p>
    <w:p>
      <w:pPr>
        <w:spacing w:after="0" w:line="40" w:lineRule="exact"/>
        <w:rPr>
          <w:sz w:val="24"/>
          <w:szCs w:val="24"/>
          <w:color w:val="auto"/>
        </w:rPr>
      </w:pPr>
    </w:p>
    <w:p>
      <w:pPr>
        <w:spacing w:after="0"/>
        <w:rPr>
          <w:sz w:val="20"/>
          <w:szCs w:val="20"/>
          <w:color w:val="auto"/>
        </w:rPr>
      </w:pPr>
      <w:r>
        <w:rPr>
          <w:rFonts w:ascii="Times New Roman" w:cs="Times New Roman" w:eastAsia="Times New Roman" w:hAnsi="Times New Roman"/>
          <w:sz w:val="23"/>
          <w:szCs w:val="23"/>
          <w:b w:val="1"/>
          <w:bCs w:val="1"/>
          <w:color w:val="auto"/>
        </w:rPr>
        <w:t>Staff Contact:</w:t>
      </w:r>
    </w:p>
    <w:p>
      <w:pPr>
        <w:spacing w:after="0" w:line="20" w:lineRule="exact"/>
        <w:rPr>
          <w:sz w:val="24"/>
          <w:szCs w:val="24"/>
          <w:color w:val="auto"/>
        </w:rPr>
      </w:pPr>
      <w:r>
        <w:rPr>
          <w:sz w:val="24"/>
          <w:szCs w:val="24"/>
          <w:color w:val="auto"/>
        </w:rPr>
        <w:br w:type="column"/>
      </w:r>
    </w:p>
    <w:p>
      <w:pPr>
        <w:spacing w:after="0" w:line="26" w:lineRule="exact"/>
        <w:rPr>
          <w:sz w:val="24"/>
          <w:szCs w:val="24"/>
          <w:color w:val="auto"/>
        </w:rPr>
      </w:pPr>
    </w:p>
    <w:p>
      <w:pPr>
        <w:ind w:right="260"/>
        <w:spacing w:after="0" w:line="271" w:lineRule="auto"/>
        <w:rPr>
          <w:sz w:val="20"/>
          <w:szCs w:val="20"/>
          <w:color w:val="auto"/>
        </w:rPr>
      </w:pPr>
      <w:r>
        <w:rPr>
          <w:rFonts w:ascii="Times New Roman" w:cs="Times New Roman" w:eastAsia="Times New Roman" w:hAnsi="Times New Roman"/>
          <w:sz w:val="24"/>
          <w:szCs w:val="24"/>
          <w:color w:val="auto"/>
        </w:rPr>
        <w:t>Carol Akers, Purchasing &amp; Contracts Administrator and Darren Schulz, Public Works Director</w:t>
      </w:r>
    </w:p>
    <w:p>
      <w:pPr>
        <w:spacing w:after="0" w:line="163" w:lineRule="exact"/>
        <w:rPr>
          <w:sz w:val="24"/>
          <w:szCs w:val="24"/>
          <w:color w:val="auto"/>
        </w:rPr>
      </w:pPr>
    </w:p>
    <w:p>
      <w:pPr>
        <w:sectPr>
          <w:pgSz w:w="12240" w:h="15840" w:orient="portrait"/>
          <w:cols w:equalWidth="0" w:num="2">
            <w:col w:w="1480" w:space="720"/>
            <w:col w:w="7820"/>
          </w:cols>
          <w:pgMar w:left="1080" w:top="831" w:right="1140" w:bottom="682" w:gutter="0" w:footer="0" w:header="0"/>
          <w:type w:val="continuous"/>
        </w:sectPr>
      </w:pPr>
    </w:p>
    <w:p>
      <w:pPr>
        <w:jc w:val="both"/>
        <w:ind w:left="2200" w:hanging="2195"/>
        <w:spacing w:after="0" w:line="243" w:lineRule="auto"/>
        <w:tabs>
          <w:tab w:leader="none" w:pos="2180" w:val="left"/>
        </w:tabs>
        <w:rPr>
          <w:sz w:val="20"/>
          <w:szCs w:val="20"/>
          <w:color w:val="auto"/>
        </w:rPr>
      </w:pPr>
      <w:r>
        <w:rPr>
          <w:rFonts w:ascii="Times New Roman" w:cs="Times New Roman" w:eastAsia="Times New Roman" w:hAnsi="Times New Roman"/>
          <w:sz w:val="24"/>
          <w:szCs w:val="24"/>
          <w:b w:val="1"/>
          <w:bCs w:val="1"/>
          <w:color w:val="auto"/>
        </w:rPr>
        <w:t>Agenda Title:</w:t>
      </w:r>
      <w:r>
        <w:rPr>
          <w:sz w:val="20"/>
          <w:szCs w:val="20"/>
          <w:color w:val="auto"/>
        </w:rPr>
        <w:tab/>
      </w:r>
      <w:r>
        <w:rPr>
          <w:rFonts w:ascii="Times New Roman" w:cs="Times New Roman" w:eastAsia="Times New Roman" w:hAnsi="Times New Roman"/>
          <w:sz w:val="24"/>
          <w:szCs w:val="24"/>
          <w:color w:val="auto"/>
        </w:rPr>
        <w:t>For Possible Action: Discussion and possible action regarding (1) Contract No. 26300311 (“Contract”) with Day Management Corporation dba Day Wireless Systems (“Day Wireless”) for construction of an Emergency Responder Communication Enhancement System (“ERCES”) within the Public Safety Complex and Sheriff’s Administration Building (“Project”) for a total not to exceed amount of $131,440.40; (2) authorization of a 10 percent contingency amount of $13,144.04, for a total not to exceed amount of $144,584.44; and (3) authorization for the Public Works Director to expend the contingency, if necessary. (Carol Akers, cakers@carsoncity.gov and James Jacklett, jjacklett@carsoncity.gov)</w:t>
      </w:r>
    </w:p>
    <w:p>
      <w:pPr>
        <w:spacing w:after="0" w:line="206" w:lineRule="exact"/>
        <w:rPr>
          <w:sz w:val="24"/>
          <w:szCs w:val="24"/>
          <w:color w:val="auto"/>
        </w:rPr>
      </w:pPr>
    </w:p>
    <w:p>
      <w:pPr>
        <w:spacing w:after="0"/>
        <w:tabs>
          <w:tab w:leader="none" w:pos="2180" w:val="left"/>
          <w:tab w:leader="none" w:pos="4980" w:val="left"/>
          <w:tab w:leader="none" w:pos="6980" w:val="left"/>
        </w:tabs>
        <w:rPr>
          <w:sz w:val="20"/>
          <w:szCs w:val="20"/>
          <w:color w:val="auto"/>
        </w:rPr>
      </w:pPr>
      <w:r>
        <w:rPr>
          <w:rFonts w:ascii="Times New Roman" w:cs="Times New Roman" w:eastAsia="Times New Roman" w:hAnsi="Times New Roman"/>
          <w:sz w:val="24"/>
          <w:szCs w:val="24"/>
          <w:b w:val="1"/>
          <w:bCs w:val="1"/>
          <w:color w:val="auto"/>
        </w:rPr>
        <w:t>Agenda Action:</w:t>
      </w:r>
      <w:r>
        <w:rPr>
          <w:sz w:val="20"/>
          <w:szCs w:val="20"/>
          <w:color w:val="auto"/>
        </w:rPr>
        <w:tab/>
      </w:r>
      <w:r>
        <w:rPr>
          <w:rFonts w:ascii="Times New Roman" w:cs="Times New Roman" w:eastAsia="Times New Roman" w:hAnsi="Times New Roman"/>
          <w:sz w:val="24"/>
          <w:szCs w:val="24"/>
          <w:color w:val="auto"/>
        </w:rPr>
        <w:t>Formal Action / Motion</w:t>
      </w:r>
      <w:r>
        <w:rPr>
          <w:sz w:val="20"/>
          <w:szCs w:val="20"/>
          <w:color w:val="auto"/>
        </w:rPr>
        <w:tab/>
      </w:r>
      <w:r>
        <w:rPr>
          <w:rFonts w:ascii="Times New Roman" w:cs="Times New Roman" w:eastAsia="Times New Roman" w:hAnsi="Times New Roman"/>
          <w:sz w:val="24"/>
          <w:szCs w:val="24"/>
          <w:b w:val="1"/>
          <w:bCs w:val="1"/>
          <w:color w:val="auto"/>
        </w:rPr>
        <w:t>Time Requested:</w:t>
      </w:r>
      <w:r>
        <w:rPr>
          <w:sz w:val="20"/>
          <w:szCs w:val="20"/>
          <w:color w:val="auto"/>
        </w:rPr>
        <w:tab/>
      </w:r>
      <w:r>
        <w:rPr>
          <w:rFonts w:ascii="Times New Roman" w:cs="Times New Roman" w:eastAsia="Times New Roman" w:hAnsi="Times New Roman"/>
          <w:sz w:val="23"/>
          <w:szCs w:val="23"/>
          <w:color w:val="auto"/>
        </w:rPr>
        <w:t>Consent</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0</wp:posOffset>
            </wp:positionH>
            <wp:positionV relativeFrom="paragraph">
              <wp:posOffset>247650</wp:posOffset>
            </wp:positionV>
            <wp:extent cx="6362700" cy="304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extLst>
                    </a:blip>
                    <a:srcRect/>
                    <a:stretch>
                      <a:fillRect/>
                    </a:stretch>
                  </pic:blipFill>
                  <pic:spPr bwMode="auto">
                    <a:xfrm>
                      <a:off x="0" y="0"/>
                      <a:ext cx="6362700" cy="3048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28"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Proposed Motion</w:t>
      </w:r>
    </w:p>
    <w:p>
      <w:pPr>
        <w:spacing w:after="0" w:line="32" w:lineRule="exact"/>
        <w:rPr>
          <w:sz w:val="24"/>
          <w:szCs w:val="24"/>
          <w:color w:val="auto"/>
        </w:rPr>
      </w:pPr>
    </w:p>
    <w:p>
      <w:pPr>
        <w:ind w:right="200"/>
        <w:spacing w:after="0" w:line="248" w:lineRule="auto"/>
        <w:rPr>
          <w:sz w:val="20"/>
          <w:szCs w:val="20"/>
          <w:color w:val="auto"/>
        </w:rPr>
      </w:pPr>
      <w:r>
        <w:rPr>
          <w:rFonts w:ascii="Times New Roman" w:cs="Times New Roman" w:eastAsia="Times New Roman" w:hAnsi="Times New Roman"/>
          <w:sz w:val="24"/>
          <w:szCs w:val="24"/>
          <w:color w:val="auto"/>
        </w:rPr>
        <w:t>I move to approve the Contract and contingency as presented and authorize the Public Works Director to approve expenditure of the contingency, if necessary.</w:t>
      </w:r>
    </w:p>
    <w:p>
      <w:pPr>
        <w:spacing w:after="0" w:line="190"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Board's Strategic Goal</w:t>
      </w:r>
    </w:p>
    <w:p>
      <w:pPr>
        <w:spacing w:after="0" w:line="32"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color w:val="auto"/>
        </w:rPr>
        <w:t>Safety</w:t>
      </w:r>
    </w:p>
    <w:p>
      <w:pPr>
        <w:spacing w:after="0" w:line="208"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Previous Action</w:t>
      </w:r>
    </w:p>
    <w:p>
      <w:pPr>
        <w:spacing w:after="0" w:line="32" w:lineRule="exact"/>
        <w:rPr>
          <w:sz w:val="24"/>
          <w:szCs w:val="24"/>
          <w:color w:val="auto"/>
        </w:rPr>
      </w:pPr>
    </w:p>
    <w:p>
      <w:pPr>
        <w:ind w:right="240"/>
        <w:spacing w:after="0" w:line="248" w:lineRule="auto"/>
        <w:rPr>
          <w:sz w:val="20"/>
          <w:szCs w:val="20"/>
          <w:color w:val="auto"/>
        </w:rPr>
      </w:pPr>
      <w:r>
        <w:rPr>
          <w:rFonts w:ascii="Times New Roman" w:cs="Times New Roman" w:eastAsia="Times New Roman" w:hAnsi="Times New Roman"/>
          <w:sz w:val="24"/>
          <w:szCs w:val="24"/>
          <w:color w:val="auto"/>
        </w:rPr>
        <w:t>May 19, 2022 (Item 17a) - The Board of Supervisors approved the Final Budget for Fiscal Year 2023, which included the Capital Improvements Program.</w:t>
      </w:r>
    </w:p>
    <w:p>
      <w:pPr>
        <w:spacing w:after="0" w:line="232" w:lineRule="exact"/>
        <w:rPr>
          <w:sz w:val="24"/>
          <w:szCs w:val="24"/>
          <w:color w:val="auto"/>
        </w:rPr>
      </w:pPr>
    </w:p>
    <w:p>
      <w:pPr>
        <w:ind w:right="220"/>
        <w:spacing w:after="0" w:line="271" w:lineRule="auto"/>
        <w:rPr>
          <w:sz w:val="20"/>
          <w:szCs w:val="20"/>
          <w:color w:val="auto"/>
        </w:rPr>
      </w:pPr>
      <w:r>
        <w:rPr>
          <w:rFonts w:ascii="Times New Roman" w:cs="Times New Roman" w:eastAsia="Times New Roman" w:hAnsi="Times New Roman"/>
          <w:sz w:val="24"/>
          <w:szCs w:val="24"/>
          <w:color w:val="auto"/>
        </w:rPr>
        <w:t>May 20, 2021 (Item 15b) - The Board of Supervisors approved the Final Budget for Fiscal Year 2022, which included the Capital Improvements Program.</w:t>
      </w:r>
    </w:p>
    <w:p>
      <w:pPr>
        <w:spacing w:after="0" w:line="163"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Background/Issues &amp; Analysis</w:t>
      </w:r>
    </w:p>
    <w:p>
      <w:pPr>
        <w:spacing w:after="0" w:line="32" w:lineRule="exact"/>
        <w:rPr>
          <w:sz w:val="24"/>
          <w:szCs w:val="24"/>
          <w:color w:val="auto"/>
        </w:rPr>
      </w:pPr>
    </w:p>
    <w:p>
      <w:pPr>
        <w:ind w:right="100"/>
        <w:spacing w:after="0" w:line="242" w:lineRule="auto"/>
        <w:rPr>
          <w:sz w:val="20"/>
          <w:szCs w:val="20"/>
          <w:color w:val="auto"/>
        </w:rPr>
      </w:pPr>
      <w:r>
        <w:rPr>
          <w:rFonts w:ascii="Times New Roman" w:cs="Times New Roman" w:eastAsia="Times New Roman" w:hAnsi="Times New Roman"/>
          <w:sz w:val="24"/>
          <w:szCs w:val="24"/>
          <w:color w:val="auto"/>
        </w:rPr>
        <w:t>The courthouse renovation project has triggered an NFPA and IFC requirement for satisfactory radio communications coverage within the building. This cannot be deferred until the courthouse renovation is completed. The sub-optimal radio coverage in the public safety complex and Sheriff’s administration building has been a common complaint since they were constructed.</w:t>
      </w:r>
    </w:p>
    <w:p>
      <w:pPr>
        <w:spacing w:after="0" w:line="241" w:lineRule="exact"/>
        <w:rPr>
          <w:sz w:val="24"/>
          <w:szCs w:val="24"/>
          <w:color w:val="auto"/>
        </w:rPr>
      </w:pPr>
    </w:p>
    <w:p>
      <w:pPr>
        <w:ind w:right="100"/>
        <w:spacing w:after="0" w:line="250" w:lineRule="auto"/>
        <w:rPr>
          <w:sz w:val="20"/>
          <w:szCs w:val="20"/>
          <w:color w:val="auto"/>
        </w:rPr>
      </w:pPr>
      <w:r>
        <w:rPr>
          <w:rFonts w:ascii="Times New Roman" w:cs="Times New Roman" w:eastAsia="Times New Roman" w:hAnsi="Times New Roman"/>
          <w:sz w:val="24"/>
          <w:szCs w:val="24"/>
          <w:color w:val="auto"/>
        </w:rPr>
        <w:t>Public Works has determined that a single ERCES that will serve both the public safety complex and Sheriff’s administration building will provide for the best performance and save money. The savings come from installing a single shared ERCES instead of equipping each building with individual ERCESs. The ERCES will amplify all talk groups used on the Nevada Shared Radio System (“NSRS”)</w:t>
      </w:r>
    </w:p>
    <w:p>
      <w:pPr>
        <w:sectPr>
          <w:pgSz w:w="12240" w:h="15840" w:orient="portrait"/>
          <w:cols w:equalWidth="0" w:num="1">
            <w:col w:w="10020"/>
          </w:cols>
          <w:pgMar w:left="1080" w:top="831" w:right="1140" w:bottom="682" w:gutter="0" w:footer="0" w:header="0"/>
          <w:type w:val="continuous"/>
        </w:sectPr>
      </w:pPr>
    </w:p>
    <w:p>
      <w:pPr>
        <w:spacing w:after="0"/>
        <w:rPr>
          <w:sz w:val="20"/>
          <w:szCs w:val="20"/>
          <w:color w:val="auto"/>
        </w:rPr>
      </w:pPr>
      <w:r>
        <w:rPr>
          <w:rFonts w:ascii="Times New Roman" w:cs="Times New Roman" w:eastAsia="Times New Roman" w:hAnsi="Times New Roman"/>
          <w:sz w:val="24"/>
          <w:szCs w:val="24"/>
          <w:color w:val="auto"/>
        </w:rPr>
        <w:t>supporting both day-to-day and emergency radio communications in these two critical buildings.</w:t>
      </w:r>
    </w:p>
    <w:p>
      <w:pPr>
        <w:spacing w:after="0" w:line="276"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color w:val="auto"/>
        </w:rPr>
        <w:t>This Contract is not adapted to award by competitive solicitation pursuant to NRS 322.115.</w:t>
      </w:r>
    </w:p>
    <w:p>
      <w:pPr>
        <w:spacing w:after="0" w:line="234"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Applicable Statute, Code, Policy, Rule or Regulation</w:t>
      </w:r>
    </w:p>
    <w:p>
      <w:pPr>
        <w:spacing w:after="0" w:line="32"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color w:val="auto"/>
        </w:rPr>
        <w:t>NRS Chapter 332.115</w:t>
      </w:r>
    </w:p>
    <w:p>
      <w:pPr>
        <w:spacing w:after="0" w:line="208"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Financial Information</w:t>
      </w:r>
    </w:p>
    <w:p>
      <w:pPr>
        <w:spacing w:after="0" w:line="32" w:lineRule="exact"/>
        <w:rPr>
          <w:sz w:val="20"/>
          <w:szCs w:val="20"/>
          <w:color w:val="auto"/>
        </w:rPr>
      </w:pPr>
    </w:p>
    <w:p>
      <w:pPr>
        <w:spacing w:after="0"/>
        <w:tabs>
          <w:tab w:leader="none" w:pos="2660" w:val="left"/>
        </w:tabs>
        <w:rPr>
          <w:sz w:val="20"/>
          <w:szCs w:val="20"/>
          <w:color w:val="auto"/>
        </w:rPr>
      </w:pPr>
      <w:r>
        <w:rPr>
          <w:rFonts w:ascii="Times New Roman" w:cs="Times New Roman" w:eastAsia="Times New Roman" w:hAnsi="Times New Roman"/>
          <w:sz w:val="24"/>
          <w:szCs w:val="24"/>
          <w:b w:val="1"/>
          <w:bCs w:val="1"/>
          <w:color w:val="auto"/>
        </w:rPr>
        <w:t>Is there a fiscal impact?</w:t>
      </w:r>
      <w:r>
        <w:rPr>
          <w:sz w:val="20"/>
          <w:szCs w:val="20"/>
          <w:color w:val="auto"/>
        </w:rPr>
        <w:tab/>
      </w:r>
      <w:r>
        <w:rPr>
          <w:rFonts w:ascii="Times New Roman" w:cs="Times New Roman" w:eastAsia="Times New Roman" w:hAnsi="Times New Roman"/>
          <w:sz w:val="23"/>
          <w:szCs w:val="23"/>
          <w:color w:val="auto"/>
        </w:rPr>
        <w:t>Yes</w:t>
      </w:r>
    </w:p>
    <w:p>
      <w:pPr>
        <w:spacing w:after="0" w:line="208"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If yes, account name/number:</w:t>
      </w:r>
      <w:r>
        <w:rPr>
          <w:rFonts w:ascii="Times New Roman" w:cs="Times New Roman" w:eastAsia="Times New Roman" w:hAnsi="Times New Roman"/>
          <w:sz w:val="24"/>
          <w:szCs w:val="24"/>
          <w:color w:val="auto"/>
        </w:rPr>
        <w:t xml:space="preserve">  Capital Projects Fund-Equipment Expense 2101002-500676</w:t>
      </w:r>
    </w:p>
    <w:p>
      <w:pPr>
        <w:spacing w:after="0" w:line="240"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Is it currently budgeted?</w:t>
      </w:r>
      <w:r>
        <w:rPr>
          <w:rFonts w:ascii="Times New Roman" w:cs="Times New Roman" w:eastAsia="Times New Roman" w:hAnsi="Times New Roman"/>
          <w:sz w:val="24"/>
          <w:szCs w:val="24"/>
          <w:color w:val="auto"/>
        </w:rPr>
        <w:t xml:space="preserve">  Yes</w:t>
      </w:r>
    </w:p>
    <w:p>
      <w:pPr>
        <w:spacing w:after="0" w:line="240" w:lineRule="exact"/>
        <w:rPr>
          <w:sz w:val="20"/>
          <w:szCs w:val="20"/>
          <w:color w:val="auto"/>
        </w:rPr>
      </w:pPr>
    </w:p>
    <w:p>
      <w:pPr>
        <w:ind w:right="80"/>
        <w:spacing w:after="0" w:line="276" w:lineRule="auto"/>
        <w:rPr>
          <w:sz w:val="20"/>
          <w:szCs w:val="20"/>
          <w:color w:val="auto"/>
        </w:rPr>
      </w:pPr>
      <w:r>
        <w:rPr>
          <w:rFonts w:ascii="Times New Roman" w:cs="Times New Roman" w:eastAsia="Times New Roman" w:hAnsi="Times New Roman"/>
          <w:sz w:val="24"/>
          <w:szCs w:val="24"/>
          <w:b w:val="1"/>
          <w:bCs w:val="1"/>
          <w:color w:val="auto"/>
        </w:rPr>
        <w:t>Explanation of Fiscal Impact:</w:t>
      </w:r>
      <w:r>
        <w:rPr>
          <w:rFonts w:ascii="Times New Roman" w:cs="Times New Roman" w:eastAsia="Times New Roman" w:hAnsi="Times New Roman"/>
          <w:sz w:val="24"/>
          <w:szCs w:val="24"/>
          <w:color w:val="auto"/>
        </w:rPr>
        <w:t xml:space="preserve"> If approved, Capital Projects Fund - Equipment Expense 2101002-500676 will be reduced by a not-to-exceed total of $144,584.44; the current balance is $667,980.</w:t>
      </w:r>
    </w:p>
    <w:p>
      <w:pPr>
        <w:spacing w:after="0" w:line="157"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Alternatives</w:t>
      </w:r>
    </w:p>
    <w:p>
      <w:pPr>
        <w:spacing w:after="0" w:line="32"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color w:val="auto"/>
        </w:rPr>
        <w:t>Do not approve the Contract and/or provide alternative direction to staff.</w:t>
      </w:r>
    </w:p>
    <w:p>
      <w:pPr>
        <w:spacing w:after="0" w:line="208"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Attachment(s):</w:t>
      </w:r>
    </w:p>
    <w:p>
      <w:pPr>
        <w:spacing w:after="0" w:line="32" w:lineRule="exact"/>
        <w:rPr>
          <w:sz w:val="20"/>
          <w:szCs w:val="20"/>
          <w:color w:val="auto"/>
        </w:rPr>
      </w:pPr>
    </w:p>
    <w:p>
      <w:pPr>
        <w:spacing w:after="0"/>
        <w:rPr>
          <w:rFonts w:ascii="Times New Roman" w:cs="Times New Roman" w:eastAsia="Times New Roman" w:hAnsi="Times New Roman"/>
          <w:sz w:val="24"/>
          <w:szCs w:val="24"/>
          <w:color w:val="0000EE"/>
        </w:rPr>
      </w:pPr>
      <w:hyperlink r:id="rId14">
        <w:r>
          <w:rPr>
            <w:rFonts w:ascii="Times New Roman" w:cs="Times New Roman" w:eastAsia="Times New Roman" w:hAnsi="Times New Roman"/>
            <w:sz w:val="24"/>
            <w:szCs w:val="24"/>
            <w:color w:val="0000EE"/>
          </w:rPr>
          <w:t>26300311 DRAFT Contract.pdf</w:t>
        </w:r>
      </w:hyperlink>
    </w:p>
    <w:p>
      <w:pPr>
        <w:spacing w:after="0" w:line="200" w:lineRule="exact"/>
        <w:rPr>
          <w:sz w:val="20"/>
          <w:szCs w:val="20"/>
          <w:color w:val="auto"/>
        </w:rPr>
      </w:pPr>
    </w:p>
    <w:p>
      <w:pPr>
        <w:spacing w:after="0" w:line="290" w:lineRule="exact"/>
        <w:rPr>
          <w:sz w:val="20"/>
          <w:szCs w:val="20"/>
          <w:color w:val="auto"/>
        </w:rPr>
      </w:pPr>
    </w:p>
    <w:tbl>
      <w:tblPr>
        <w:tblLayout w:type="fixed"/>
        <w:tblInd w:w="0" w:type="dxa"/>
        <w:tblCellMar>
          <w:top w:w="0" w:type="dxa"/>
          <w:left w:w="0" w:type="dxa"/>
          <w:bottom w:w="0" w:type="dxa"/>
          <w:right w:w="0" w:type="dxa"/>
        </w:tblCellMar>
      </w:tblPr>
      <w:tr>
        <w:trPr>
          <w:trHeight w:val="276"/>
        </w:trPr>
        <w:tc>
          <w:tcPr>
            <w:tcW w:w="3820" w:type="dxa"/>
            <w:vAlign w:val="bottom"/>
          </w:tcPr>
          <w:p>
            <w:pPr>
              <w:spacing w:after="0"/>
              <w:rPr>
                <w:sz w:val="20"/>
                <w:szCs w:val="20"/>
                <w:color w:val="auto"/>
              </w:rPr>
            </w:pPr>
            <w:r>
              <w:rPr>
                <w:rFonts w:ascii="Times New Roman" w:cs="Times New Roman" w:eastAsia="Times New Roman" w:hAnsi="Times New Roman"/>
                <w:sz w:val="24"/>
                <w:szCs w:val="24"/>
                <w:color w:val="auto"/>
              </w:rPr>
              <w:t>Motion: _________________</w:t>
            </w:r>
          </w:p>
        </w:tc>
        <w:tc>
          <w:tcPr>
            <w:tcW w:w="2720" w:type="dxa"/>
            <w:vAlign w:val="bottom"/>
          </w:tcPr>
          <w:p>
            <w:pPr>
              <w:jc w:val="right"/>
              <w:ind w:right="320"/>
              <w:spacing w:after="0"/>
              <w:rPr>
                <w:sz w:val="20"/>
                <w:szCs w:val="20"/>
                <w:color w:val="auto"/>
              </w:rPr>
            </w:pPr>
            <w:r>
              <w:rPr>
                <w:rFonts w:ascii="Times New Roman" w:cs="Times New Roman" w:eastAsia="Times New Roman" w:hAnsi="Times New Roman"/>
                <w:sz w:val="24"/>
                <w:szCs w:val="24"/>
                <w:color w:val="auto"/>
              </w:rPr>
              <w:t>1) ________________</w:t>
            </w: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rPr>
              <w:t>Aye/Nay</w:t>
            </w:r>
          </w:p>
        </w:tc>
        <w:tc>
          <w:tcPr>
            <w:tcW w:w="0" w:type="dxa"/>
            <w:vAlign w:val="bottom"/>
          </w:tcPr>
          <w:p>
            <w:pPr>
              <w:spacing w:after="0"/>
              <w:rPr>
                <w:sz w:val="1"/>
                <w:szCs w:val="1"/>
                <w:color w:val="auto"/>
              </w:rPr>
            </w:pPr>
          </w:p>
        </w:tc>
      </w:tr>
      <w:tr>
        <w:trPr>
          <w:trHeight w:val="276"/>
        </w:trPr>
        <w:tc>
          <w:tcPr>
            <w:tcW w:w="3820" w:type="dxa"/>
            <w:vAlign w:val="bottom"/>
          </w:tcPr>
          <w:p>
            <w:pPr>
              <w:spacing w:after="0"/>
              <w:rPr>
                <w:sz w:val="24"/>
                <w:szCs w:val="24"/>
                <w:color w:val="auto"/>
              </w:rPr>
            </w:pPr>
          </w:p>
        </w:tc>
        <w:tc>
          <w:tcPr>
            <w:tcW w:w="2720" w:type="dxa"/>
            <w:vAlign w:val="bottom"/>
          </w:tcPr>
          <w:p>
            <w:pPr>
              <w:jc w:val="right"/>
              <w:ind w:right="320"/>
              <w:spacing w:after="0"/>
              <w:rPr>
                <w:sz w:val="20"/>
                <w:szCs w:val="20"/>
                <w:color w:val="auto"/>
              </w:rPr>
            </w:pPr>
            <w:r>
              <w:rPr>
                <w:rFonts w:ascii="Times New Roman" w:cs="Times New Roman" w:eastAsia="Times New Roman" w:hAnsi="Times New Roman"/>
                <w:sz w:val="24"/>
                <w:szCs w:val="24"/>
                <w:color w:val="auto"/>
              </w:rPr>
              <w:t>2) ________________</w:t>
            </w: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w w:val="98"/>
              </w:rPr>
              <w:t>__________</w:t>
            </w:r>
          </w:p>
        </w:tc>
        <w:tc>
          <w:tcPr>
            <w:tcW w:w="0" w:type="dxa"/>
            <w:vAlign w:val="bottom"/>
          </w:tcPr>
          <w:p>
            <w:pPr>
              <w:spacing w:after="0"/>
              <w:rPr>
                <w:sz w:val="1"/>
                <w:szCs w:val="1"/>
                <w:color w:val="auto"/>
              </w:rPr>
            </w:pPr>
          </w:p>
        </w:tc>
      </w:tr>
      <w:tr>
        <w:trPr>
          <w:trHeight w:val="276"/>
        </w:trPr>
        <w:tc>
          <w:tcPr>
            <w:tcW w:w="3820" w:type="dxa"/>
            <w:vAlign w:val="bottom"/>
          </w:tcPr>
          <w:p>
            <w:pPr>
              <w:spacing w:after="0"/>
              <w:rPr>
                <w:sz w:val="24"/>
                <w:szCs w:val="24"/>
                <w:color w:val="auto"/>
              </w:rPr>
            </w:pPr>
          </w:p>
        </w:tc>
        <w:tc>
          <w:tcPr>
            <w:tcW w:w="2720" w:type="dxa"/>
            <w:vAlign w:val="bottom"/>
          </w:tcPr>
          <w:p>
            <w:pPr>
              <w:spacing w:after="0"/>
              <w:rPr>
                <w:sz w:val="24"/>
                <w:szCs w:val="24"/>
                <w:color w:val="auto"/>
              </w:rPr>
            </w:pP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w w:val="98"/>
              </w:rPr>
              <w:t>__________</w:t>
            </w:r>
          </w:p>
        </w:tc>
        <w:tc>
          <w:tcPr>
            <w:tcW w:w="0" w:type="dxa"/>
            <w:vAlign w:val="bottom"/>
          </w:tcPr>
          <w:p>
            <w:pPr>
              <w:spacing w:after="0"/>
              <w:rPr>
                <w:sz w:val="1"/>
                <w:szCs w:val="1"/>
                <w:color w:val="auto"/>
              </w:rPr>
            </w:pPr>
          </w:p>
        </w:tc>
      </w:tr>
      <w:tr>
        <w:trPr>
          <w:trHeight w:val="276"/>
        </w:trPr>
        <w:tc>
          <w:tcPr>
            <w:tcW w:w="3820" w:type="dxa"/>
            <w:vAlign w:val="bottom"/>
          </w:tcPr>
          <w:p>
            <w:pPr>
              <w:spacing w:after="0"/>
              <w:rPr>
                <w:sz w:val="24"/>
                <w:szCs w:val="24"/>
                <w:color w:val="auto"/>
              </w:rPr>
            </w:pPr>
          </w:p>
        </w:tc>
        <w:tc>
          <w:tcPr>
            <w:tcW w:w="2720" w:type="dxa"/>
            <w:vAlign w:val="bottom"/>
          </w:tcPr>
          <w:p>
            <w:pPr>
              <w:spacing w:after="0"/>
              <w:rPr>
                <w:sz w:val="24"/>
                <w:szCs w:val="24"/>
                <w:color w:val="auto"/>
              </w:rPr>
            </w:pP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w w:val="98"/>
              </w:rPr>
              <w:t>__________</w:t>
            </w:r>
          </w:p>
        </w:tc>
        <w:tc>
          <w:tcPr>
            <w:tcW w:w="0" w:type="dxa"/>
            <w:vAlign w:val="bottom"/>
          </w:tcPr>
          <w:p>
            <w:pPr>
              <w:spacing w:after="0"/>
              <w:rPr>
                <w:sz w:val="1"/>
                <w:szCs w:val="1"/>
                <w:color w:val="auto"/>
              </w:rPr>
            </w:pPr>
          </w:p>
        </w:tc>
      </w:tr>
      <w:tr>
        <w:trPr>
          <w:trHeight w:val="276"/>
        </w:trPr>
        <w:tc>
          <w:tcPr>
            <w:tcW w:w="3820" w:type="dxa"/>
            <w:vAlign w:val="bottom"/>
          </w:tcPr>
          <w:p>
            <w:pPr>
              <w:spacing w:after="0"/>
              <w:rPr>
                <w:sz w:val="24"/>
                <w:szCs w:val="24"/>
                <w:color w:val="auto"/>
              </w:rPr>
            </w:pPr>
          </w:p>
        </w:tc>
        <w:tc>
          <w:tcPr>
            <w:tcW w:w="2720" w:type="dxa"/>
            <w:vAlign w:val="bottom"/>
          </w:tcPr>
          <w:p>
            <w:pPr>
              <w:spacing w:after="0"/>
              <w:rPr>
                <w:sz w:val="24"/>
                <w:szCs w:val="24"/>
                <w:color w:val="auto"/>
              </w:rPr>
            </w:pP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w w:val="98"/>
              </w:rPr>
              <w:t>__________</w:t>
            </w:r>
          </w:p>
        </w:tc>
        <w:tc>
          <w:tcPr>
            <w:tcW w:w="0" w:type="dxa"/>
            <w:vAlign w:val="bottom"/>
          </w:tcPr>
          <w:p>
            <w:pPr>
              <w:spacing w:after="0"/>
              <w:rPr>
                <w:sz w:val="1"/>
                <w:szCs w:val="1"/>
                <w:color w:val="auto"/>
              </w:rPr>
            </w:pPr>
          </w:p>
        </w:tc>
      </w:tr>
      <w:tr>
        <w:trPr>
          <w:trHeight w:val="312"/>
        </w:trPr>
        <w:tc>
          <w:tcPr>
            <w:tcW w:w="3820" w:type="dxa"/>
            <w:vAlign w:val="bottom"/>
            <w:vMerge w:val="restart"/>
          </w:tcPr>
          <w:p>
            <w:pPr>
              <w:jc w:val="right"/>
              <w:spacing w:after="0"/>
              <w:rPr>
                <w:sz w:val="20"/>
                <w:szCs w:val="20"/>
                <w:color w:val="auto"/>
              </w:rPr>
            </w:pPr>
            <w:r>
              <w:rPr>
                <w:rFonts w:ascii="Times New Roman" w:cs="Times New Roman" w:eastAsia="Times New Roman" w:hAnsi="Times New Roman"/>
                <w:sz w:val="24"/>
                <w:szCs w:val="24"/>
                <w:color w:val="auto"/>
              </w:rPr>
              <w:t>_____________________________</w:t>
            </w:r>
          </w:p>
        </w:tc>
        <w:tc>
          <w:tcPr>
            <w:tcW w:w="2720" w:type="dxa"/>
            <w:vAlign w:val="bottom"/>
          </w:tcPr>
          <w:p>
            <w:pPr>
              <w:spacing w:after="0"/>
              <w:rPr>
                <w:sz w:val="24"/>
                <w:szCs w:val="24"/>
                <w:color w:val="auto"/>
              </w:rPr>
            </w:pP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w w:val="98"/>
              </w:rPr>
              <w:t>__________</w:t>
            </w:r>
          </w:p>
        </w:tc>
        <w:tc>
          <w:tcPr>
            <w:tcW w:w="0" w:type="dxa"/>
            <w:vAlign w:val="bottom"/>
          </w:tcPr>
          <w:p>
            <w:pPr>
              <w:spacing w:after="0"/>
              <w:rPr>
                <w:sz w:val="1"/>
                <w:szCs w:val="1"/>
                <w:color w:val="auto"/>
              </w:rPr>
            </w:pPr>
          </w:p>
        </w:tc>
      </w:tr>
      <w:tr>
        <w:trPr>
          <w:trHeight w:val="240"/>
        </w:trPr>
        <w:tc>
          <w:tcPr>
            <w:tcW w:w="3820" w:type="dxa"/>
            <w:vAlign w:val="bottom"/>
            <w:vMerge w:val="continue"/>
          </w:tcPr>
          <w:p>
            <w:pPr>
              <w:spacing w:after="0"/>
              <w:rPr>
                <w:sz w:val="20"/>
                <w:szCs w:val="20"/>
                <w:color w:val="auto"/>
              </w:rPr>
            </w:pPr>
          </w:p>
        </w:tc>
        <w:tc>
          <w:tcPr>
            <w:tcW w:w="2720" w:type="dxa"/>
            <w:vAlign w:val="bottom"/>
          </w:tcPr>
          <w:p>
            <w:pPr>
              <w:spacing w:after="0"/>
              <w:rPr>
                <w:sz w:val="20"/>
                <w:szCs w:val="20"/>
                <w:color w:val="auto"/>
              </w:rPr>
            </w:pPr>
          </w:p>
        </w:tc>
        <w:tc>
          <w:tcPr>
            <w:tcW w:w="1680" w:type="dxa"/>
            <w:vAlign w:val="bottom"/>
          </w:tcPr>
          <w:p>
            <w:pPr>
              <w:spacing w:after="0"/>
              <w:rPr>
                <w:sz w:val="20"/>
                <w:szCs w:val="20"/>
                <w:color w:val="auto"/>
              </w:rPr>
            </w:pPr>
          </w:p>
        </w:tc>
        <w:tc>
          <w:tcPr>
            <w:tcW w:w="0" w:type="dxa"/>
            <w:vAlign w:val="bottom"/>
          </w:tcPr>
          <w:p>
            <w:pPr>
              <w:spacing w:after="0"/>
              <w:rPr>
                <w:sz w:val="1"/>
                <w:szCs w:val="1"/>
                <w:color w:val="auto"/>
              </w:rPr>
            </w:pPr>
          </w:p>
        </w:tc>
      </w:tr>
      <w:tr>
        <w:trPr>
          <w:trHeight w:val="312"/>
        </w:trPr>
        <w:tc>
          <w:tcPr>
            <w:tcW w:w="3820" w:type="dxa"/>
            <w:vAlign w:val="bottom"/>
          </w:tcPr>
          <w:p>
            <w:pPr>
              <w:jc w:val="center"/>
              <w:ind w:left="60"/>
              <w:spacing w:after="0"/>
              <w:rPr>
                <w:sz w:val="20"/>
                <w:szCs w:val="20"/>
                <w:color w:val="auto"/>
              </w:rPr>
            </w:pPr>
            <w:r>
              <w:rPr>
                <w:rFonts w:ascii="Times New Roman" w:cs="Times New Roman" w:eastAsia="Times New Roman" w:hAnsi="Times New Roman"/>
                <w:sz w:val="24"/>
                <w:szCs w:val="24"/>
                <w:color w:val="auto"/>
              </w:rPr>
              <w:t>(Vote Recorded By)</w:t>
            </w:r>
          </w:p>
        </w:tc>
        <w:tc>
          <w:tcPr>
            <w:tcW w:w="2720" w:type="dxa"/>
            <w:vAlign w:val="bottom"/>
          </w:tcPr>
          <w:p>
            <w:pPr>
              <w:spacing w:after="0"/>
              <w:rPr>
                <w:sz w:val="24"/>
                <w:szCs w:val="24"/>
                <w:color w:val="auto"/>
              </w:rPr>
            </w:pPr>
          </w:p>
        </w:tc>
        <w:tc>
          <w:tcPr>
            <w:tcW w:w="1680" w:type="dxa"/>
            <w:vAlign w:val="bottom"/>
          </w:tcPr>
          <w:p>
            <w:pPr>
              <w:spacing w:after="0"/>
              <w:rPr>
                <w:sz w:val="24"/>
                <w:szCs w:val="24"/>
                <w:color w:val="auto"/>
              </w:rPr>
            </w:pPr>
          </w:p>
        </w:tc>
        <w:tc>
          <w:tcPr>
            <w:tcW w:w="0" w:type="dxa"/>
            <w:vAlign w:val="bottom"/>
          </w:tcPr>
          <w:p>
            <w:pPr>
              <w:spacing w:after="0"/>
              <w:rPr>
                <w:sz w:val="1"/>
                <w:szCs w:val="1"/>
                <w:color w:val="auto"/>
              </w:rPr>
            </w:pPr>
          </w:p>
        </w:tc>
      </w:tr>
    </w:tbl>
    <w:p>
      <w:pPr>
        <w:spacing w:after="0" w:line="1" w:lineRule="exact"/>
        <w:rPr>
          <w:sz w:val="20"/>
          <w:szCs w:val="20"/>
          <w:color w:val="auto"/>
        </w:rPr>
      </w:pPr>
    </w:p>
    <w:sectPr>
      <w:pgSz w:w="12240" w:h="15840" w:orient="portrait"/>
      <w:cols w:equalWidth="0" w:num="1">
        <w:col w:w="9720"/>
      </w:cols>
      <w:pgMar w:left="1080" w:top="831" w:right="1440" w:bottom="144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webSettings" Target="webSettings.xml"/><Relationship Id="rId12" Type="http://schemas.openxmlformats.org/officeDocument/2006/relationships/image" Target="media/image1.jpeg"/><Relationship Id="rId13" Type="http://schemas.openxmlformats.org/officeDocument/2006/relationships/image" Target="media/image2.png"/><Relationship Id="rId14" Type="http://schemas.openxmlformats.org/officeDocument/2006/relationships/hyperlink" Target="https://carsoncity.granicus.com/services/legistar/download/pdf/4018514/26300311_DRAFT_Contract.pdf"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2026-04-09T22:02:18Z</dcterms:created>
  <dcterms:modified xsi:type="dcterms:W3CDTF">2026-04-09T22:02:18Z</dcterms:modified>
</cp:coreProperties>
</file>