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ind w:left="7880"/>
        <w:spacing w:after="0"/>
        <w:rPr>
          <w:sz w:val="20"/>
          <w:szCs w:val="20"/>
          <w:color w:val="auto"/>
        </w:rPr>
      </w:pPr>
      <w:r>
        <w:rPr>
          <w:rFonts w:ascii="Times New Roman" w:cs="Times New Roman" w:eastAsia="Times New Roman" w:hAnsi="Times New Roman"/>
          <w:sz w:val="23"/>
          <w:szCs w:val="23"/>
          <w:color w:val="auto"/>
        </w:rPr>
        <w:t>Agenda Item No: 11.a</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22225</wp:posOffset>
            </wp:positionV>
            <wp:extent cx="1234440" cy="9220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extLst>
                    </a:blip>
                    <a:srcRect/>
                    <a:stretch>
                      <a:fillRect/>
                    </a:stretch>
                  </pic:blipFill>
                  <pic:spPr bwMode="auto">
                    <a:xfrm>
                      <a:off x="0" y="0"/>
                      <a:ext cx="1234440" cy="922020"/>
                    </a:xfrm>
                    <a:prstGeom prst="rect">
                      <a:avLst/>
                    </a:prstGeom>
                    <a:noFill/>
                  </pic:spPr>
                </pic:pic>
              </a:graphicData>
            </a:graphic>
          </wp:anchor>
        </w:drawing>
      </w:r>
    </w:p>
    <w:p>
      <w:pPr>
        <w:spacing w:after="0" w:line="200" w:lineRule="exact"/>
        <w:rPr>
          <w:sz w:val="24"/>
          <w:szCs w:val="24"/>
          <w:color w:val="auto"/>
        </w:rPr>
      </w:pPr>
    </w:p>
    <w:p>
      <w:pPr>
        <w:spacing w:after="0" w:line="323" w:lineRule="exact"/>
        <w:rPr>
          <w:sz w:val="24"/>
          <w:szCs w:val="24"/>
          <w:color w:val="auto"/>
        </w:rPr>
      </w:pPr>
    </w:p>
    <w:p>
      <w:pPr>
        <w:ind w:left="2200"/>
        <w:spacing w:after="0"/>
        <w:rPr>
          <w:sz w:val="20"/>
          <w:szCs w:val="20"/>
          <w:color w:val="auto"/>
        </w:rPr>
      </w:pPr>
      <w:r>
        <w:rPr>
          <w:rFonts w:ascii="Times New Roman" w:cs="Times New Roman" w:eastAsia="Times New Roman" w:hAnsi="Times New Roman"/>
          <w:sz w:val="36"/>
          <w:szCs w:val="36"/>
          <w:b w:val="1"/>
          <w:bCs w:val="1"/>
          <w:color w:val="auto"/>
        </w:rPr>
        <w:t>STAFF REPORT</w:t>
      </w:r>
    </w:p>
    <w:p>
      <w:pPr>
        <w:sectPr>
          <w:pgSz w:w="12240" w:h="15840" w:orient="portrait"/>
          <w:cols w:equalWidth="0" w:num="1">
            <w:col w:w="10000"/>
          </w:cols>
          <w:pgMar w:left="1080" w:top="831" w:right="1160" w:bottom="657" w:gutter="0" w:footer="0" w:header="0"/>
        </w:sectPr>
      </w:pPr>
    </w:p>
    <w:p>
      <w:pPr>
        <w:spacing w:after="0" w:line="200" w:lineRule="exact"/>
        <w:rPr>
          <w:sz w:val="24"/>
          <w:szCs w:val="24"/>
          <w:color w:val="auto"/>
        </w:rPr>
      </w:pPr>
    </w:p>
    <w:p>
      <w:pPr>
        <w:spacing w:after="0" w:line="200" w:lineRule="exact"/>
        <w:rPr>
          <w:sz w:val="24"/>
          <w:szCs w:val="24"/>
          <w:color w:val="auto"/>
        </w:rPr>
      </w:pPr>
    </w:p>
    <w:p>
      <w:pPr>
        <w:spacing w:after="0" w:line="341"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b w:val="1"/>
          <w:bCs w:val="1"/>
          <w:color w:val="auto"/>
        </w:rPr>
        <w:t>Report To:</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7"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color w:val="auto"/>
        </w:rPr>
        <w:t>Board of Supervisors</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1"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Meeting Date:</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7"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color w:val="auto"/>
        </w:rPr>
        <w:t>July 2, 2026</w:t>
      </w:r>
    </w:p>
    <w:p>
      <w:pPr>
        <w:spacing w:after="0" w:line="205" w:lineRule="exact"/>
        <w:rPr>
          <w:sz w:val="24"/>
          <w:szCs w:val="24"/>
          <w:color w:val="auto"/>
        </w:rPr>
      </w:pPr>
    </w:p>
    <w:p>
      <w:pPr>
        <w:sectPr>
          <w:pgSz w:w="12240" w:h="15840" w:orient="portrait"/>
          <w:cols w:equalWidth="0" w:num="4">
            <w:col w:w="1480" w:space="720"/>
            <w:col w:w="2080" w:space="720"/>
            <w:col w:w="1460" w:space="540"/>
            <w:col w:w="3000"/>
          </w:cols>
          <w:pgMar w:left="1080" w:top="831" w:right="1160" w:bottom="657" w:gutter="0" w:footer="0" w:header="0"/>
          <w:type w:val="continuous"/>
        </w:sectPr>
      </w:pPr>
    </w:p>
    <w:p>
      <w:pPr>
        <w:spacing w:after="0" w:line="40"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b w:val="1"/>
          <w:bCs w:val="1"/>
          <w:color w:val="auto"/>
        </w:rPr>
        <w:t>Staff Contact:</w:t>
      </w:r>
    </w:p>
    <w:p>
      <w:pPr>
        <w:spacing w:after="0" w:line="20" w:lineRule="exact"/>
        <w:rPr>
          <w:sz w:val="24"/>
          <w:szCs w:val="24"/>
          <w:color w:val="auto"/>
        </w:rPr>
      </w:pPr>
      <w:r>
        <w:rPr>
          <w:sz w:val="24"/>
          <w:szCs w:val="24"/>
          <w:color w:val="auto"/>
        </w:rPr>
        <w:br w:type="column"/>
      </w:r>
    </w:p>
    <w:p>
      <w:pPr>
        <w:spacing w:after="0" w:line="26" w:lineRule="exact"/>
        <w:rPr>
          <w:sz w:val="24"/>
          <w:szCs w:val="24"/>
          <w:color w:val="auto"/>
        </w:rPr>
      </w:pPr>
    </w:p>
    <w:p>
      <w:pPr>
        <w:ind w:right="60"/>
        <w:spacing w:after="0" w:line="271" w:lineRule="auto"/>
        <w:rPr>
          <w:sz w:val="20"/>
          <w:szCs w:val="20"/>
          <w:color w:val="auto"/>
        </w:rPr>
      </w:pPr>
      <w:r>
        <w:rPr>
          <w:rFonts w:ascii="Times New Roman" w:cs="Times New Roman" w:eastAsia="Times New Roman" w:hAnsi="Times New Roman"/>
          <w:sz w:val="24"/>
          <w:szCs w:val="24"/>
          <w:color w:val="auto"/>
        </w:rPr>
        <w:t>Carol Akers, Purchasing and Contracts Administrator and Kevin Nyberg, Acting Fire Chief</w:t>
      </w:r>
    </w:p>
    <w:p>
      <w:pPr>
        <w:spacing w:after="0" w:line="163" w:lineRule="exact"/>
        <w:rPr>
          <w:sz w:val="24"/>
          <w:szCs w:val="24"/>
          <w:color w:val="auto"/>
        </w:rPr>
      </w:pPr>
    </w:p>
    <w:p>
      <w:pPr>
        <w:sectPr>
          <w:pgSz w:w="12240" w:h="15840" w:orient="portrait"/>
          <w:cols w:equalWidth="0" w:num="2">
            <w:col w:w="1480" w:space="720"/>
            <w:col w:w="7800"/>
          </w:cols>
          <w:pgMar w:left="1080" w:top="831" w:right="1160" w:bottom="657" w:gutter="0" w:footer="0" w:header="0"/>
          <w:type w:val="continuous"/>
        </w:sectPr>
      </w:pPr>
    </w:p>
    <w:p>
      <w:pPr>
        <w:jc w:val="both"/>
        <w:ind w:left="2200" w:hanging="2195"/>
        <w:spacing w:after="0" w:line="255" w:lineRule="auto"/>
        <w:tabs>
          <w:tab w:leader="none" w:pos="2180" w:val="left"/>
        </w:tabs>
        <w:rPr>
          <w:sz w:val="20"/>
          <w:szCs w:val="20"/>
          <w:color w:val="auto"/>
        </w:rPr>
      </w:pPr>
      <w:r>
        <w:rPr>
          <w:rFonts w:ascii="Times New Roman" w:cs="Times New Roman" w:eastAsia="Times New Roman" w:hAnsi="Times New Roman"/>
          <w:sz w:val="24"/>
          <w:szCs w:val="24"/>
          <w:b w:val="1"/>
          <w:bCs w:val="1"/>
          <w:color w:val="auto"/>
        </w:rPr>
        <w:t>Agenda Title:</w:t>
      </w:r>
      <w:r>
        <w:rPr>
          <w:sz w:val="20"/>
          <w:szCs w:val="20"/>
          <w:color w:val="auto"/>
        </w:rPr>
        <w:tab/>
      </w:r>
      <w:r>
        <w:rPr>
          <w:rFonts w:ascii="Times New Roman" w:cs="Times New Roman" w:eastAsia="Times New Roman" w:hAnsi="Times New Roman"/>
          <w:sz w:val="23"/>
          <w:szCs w:val="23"/>
          <w:color w:val="auto"/>
        </w:rPr>
        <w:t>For Possible Action: Discussion and possible action regarding ratification of an increase not to exceed $19,000 in Fiscal Year ("FY") 2026 purchase authority, beyond the previously approved purchase authority of $150,000, for the purchase of personal protective equipment (“PPE”), including turnouts, and other safety equipment and supplies for the Carson City Fire Department (“CCFD”) utilizing joinder contract PS26220 between the League of Oregon Cities and L.N. Curtis</w:t>
      </w:r>
    </w:p>
    <w:p>
      <w:pPr>
        <w:spacing w:after="0" w:line="2" w:lineRule="exact"/>
        <w:rPr>
          <w:sz w:val="24"/>
          <w:szCs w:val="24"/>
          <w:color w:val="auto"/>
        </w:rPr>
      </w:pPr>
    </w:p>
    <w:p>
      <w:pPr>
        <w:jc w:val="both"/>
        <w:ind w:left="2200" w:hanging="4"/>
        <w:spacing w:after="0" w:line="244" w:lineRule="auto"/>
        <w:tabs>
          <w:tab w:leader="none" w:pos="2453" w:val="left"/>
        </w:tabs>
        <w:numPr>
          <w:ilvl w:val="0"/>
          <w:numId w:val="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Sons, resulting in a new not to exceed purchase authority amount of $169,000 through FY 2026. (Carol Akers, cakers@carsoncity.gov and Kevin Nyberg, knyberg@carsoncity.gov)</w:t>
      </w:r>
    </w:p>
    <w:p>
      <w:pPr>
        <w:spacing w:after="0" w:line="194" w:lineRule="exact"/>
        <w:rPr>
          <w:sz w:val="24"/>
          <w:szCs w:val="24"/>
          <w:color w:val="auto"/>
        </w:rPr>
      </w:pPr>
    </w:p>
    <w:p>
      <w:pPr>
        <w:spacing w:after="0"/>
        <w:tabs>
          <w:tab w:leader="none" w:pos="2180" w:val="left"/>
          <w:tab w:leader="none" w:pos="4980" w:val="left"/>
          <w:tab w:leader="none" w:pos="6980" w:val="left"/>
        </w:tabs>
        <w:rPr>
          <w:sz w:val="20"/>
          <w:szCs w:val="20"/>
          <w:color w:val="auto"/>
        </w:rPr>
      </w:pPr>
      <w:r>
        <w:rPr>
          <w:rFonts w:ascii="Times New Roman" w:cs="Times New Roman" w:eastAsia="Times New Roman" w:hAnsi="Times New Roman"/>
          <w:sz w:val="24"/>
          <w:szCs w:val="24"/>
          <w:b w:val="1"/>
          <w:bCs w:val="1"/>
          <w:color w:val="auto"/>
        </w:rPr>
        <w:t>Agenda Action:</w:t>
      </w:r>
      <w:r>
        <w:rPr>
          <w:sz w:val="20"/>
          <w:szCs w:val="20"/>
          <w:color w:val="auto"/>
        </w:rPr>
        <w:tab/>
      </w:r>
      <w:r>
        <w:rPr>
          <w:rFonts w:ascii="Times New Roman" w:cs="Times New Roman" w:eastAsia="Times New Roman" w:hAnsi="Times New Roman"/>
          <w:sz w:val="24"/>
          <w:szCs w:val="24"/>
          <w:color w:val="auto"/>
        </w:rPr>
        <w:t>Formal Action / Motion</w:t>
      </w:r>
      <w:r>
        <w:rPr>
          <w:sz w:val="20"/>
          <w:szCs w:val="20"/>
          <w:color w:val="auto"/>
        </w:rPr>
        <w:tab/>
      </w:r>
      <w:r>
        <w:rPr>
          <w:rFonts w:ascii="Times New Roman" w:cs="Times New Roman" w:eastAsia="Times New Roman" w:hAnsi="Times New Roman"/>
          <w:sz w:val="24"/>
          <w:szCs w:val="24"/>
          <w:b w:val="1"/>
          <w:bCs w:val="1"/>
          <w:color w:val="auto"/>
        </w:rPr>
        <w:t>Time Requested:</w:t>
      </w:r>
      <w:r>
        <w:rPr>
          <w:sz w:val="20"/>
          <w:szCs w:val="20"/>
          <w:color w:val="auto"/>
        </w:rPr>
        <w:tab/>
      </w:r>
      <w:r>
        <w:rPr>
          <w:rFonts w:ascii="Times New Roman" w:cs="Times New Roman" w:eastAsia="Times New Roman" w:hAnsi="Times New Roman"/>
          <w:sz w:val="23"/>
          <w:szCs w:val="23"/>
          <w:color w:val="auto"/>
        </w:rPr>
        <w:t>Consent</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247650</wp:posOffset>
            </wp:positionV>
            <wp:extent cx="6362700" cy="304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extLst>
                    </a:blip>
                    <a:srcRect/>
                    <a:stretch>
                      <a:fillRect/>
                    </a:stretch>
                  </pic:blipFill>
                  <pic:spPr bwMode="auto">
                    <a:xfrm>
                      <a:off x="0" y="0"/>
                      <a:ext cx="6362700" cy="30480"/>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2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Proposed Motion</w:t>
      </w:r>
    </w:p>
    <w:p>
      <w:pPr>
        <w:spacing w:after="0" w:line="3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I move to ratify the increase in purchase authority, as requested.</w:t>
      </w:r>
    </w:p>
    <w:p>
      <w:pPr>
        <w:spacing w:after="0" w:line="20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Board's Strategic Goal</w:t>
      </w:r>
    </w:p>
    <w:p>
      <w:pPr>
        <w:spacing w:after="0" w:line="3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Efficient Government</w:t>
      </w:r>
    </w:p>
    <w:p>
      <w:pPr>
        <w:spacing w:after="0" w:line="20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Previous Action</w:t>
      </w:r>
    </w:p>
    <w:p>
      <w:pPr>
        <w:spacing w:after="0" w:line="32" w:lineRule="exact"/>
        <w:rPr>
          <w:sz w:val="24"/>
          <w:szCs w:val="24"/>
          <w:color w:val="auto"/>
        </w:rPr>
      </w:pPr>
    </w:p>
    <w:p>
      <w:pPr>
        <w:ind w:right="80"/>
        <w:spacing w:after="0" w:line="244" w:lineRule="auto"/>
        <w:rPr>
          <w:sz w:val="20"/>
          <w:szCs w:val="20"/>
          <w:color w:val="auto"/>
        </w:rPr>
      </w:pPr>
      <w:r>
        <w:rPr>
          <w:rFonts w:ascii="Times New Roman" w:cs="Times New Roman" w:eastAsia="Times New Roman" w:hAnsi="Times New Roman"/>
          <w:sz w:val="24"/>
          <w:szCs w:val="24"/>
          <w:color w:val="auto"/>
        </w:rPr>
        <w:t>June 5, 2025 (Item 17f) – The Board of Supervisors ("Board") authorized the purchase of CCFD PPE utilizing joinder contracts PS20015 and PS20060 between the League of Oregon Cities and L.N. Curtis &amp; Sons for an amount not to exceed $150,000 through March 26, 2026.</w:t>
      </w:r>
    </w:p>
    <w:p>
      <w:pPr>
        <w:spacing w:after="0" w:line="236" w:lineRule="exact"/>
        <w:rPr>
          <w:sz w:val="24"/>
          <w:szCs w:val="24"/>
          <w:color w:val="auto"/>
        </w:rPr>
      </w:pPr>
    </w:p>
    <w:p>
      <w:pPr>
        <w:ind w:right="200"/>
        <w:spacing w:after="0" w:line="255" w:lineRule="auto"/>
        <w:rPr>
          <w:sz w:val="20"/>
          <w:szCs w:val="20"/>
          <w:color w:val="auto"/>
        </w:rPr>
      </w:pPr>
      <w:r>
        <w:rPr>
          <w:rFonts w:ascii="Times New Roman" w:cs="Times New Roman" w:eastAsia="Times New Roman" w:hAnsi="Times New Roman"/>
          <w:sz w:val="24"/>
          <w:szCs w:val="24"/>
          <w:color w:val="auto"/>
        </w:rPr>
        <w:t>June 5, 2025 (Item 17g) - The Board authorized the purchase of emergency medical equipment and supplies utilizing joinder contract PS23120 between the League of Oregon Cities and Life-Assist, Inc. for an amount not to exceed $100,000 through June 30, 2026.</w:t>
      </w:r>
    </w:p>
    <w:p>
      <w:pPr>
        <w:spacing w:after="0" w:line="18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Background/Issues &amp; Analysis</w:t>
      </w:r>
    </w:p>
    <w:p>
      <w:pPr>
        <w:spacing w:after="0" w:line="32" w:lineRule="exact"/>
        <w:rPr>
          <w:sz w:val="24"/>
          <w:szCs w:val="24"/>
          <w:color w:val="auto"/>
        </w:rPr>
      </w:pPr>
    </w:p>
    <w:p>
      <w:pPr>
        <w:ind w:right="140"/>
        <w:spacing w:after="0" w:line="241" w:lineRule="auto"/>
        <w:rPr>
          <w:sz w:val="20"/>
          <w:szCs w:val="20"/>
          <w:color w:val="auto"/>
        </w:rPr>
      </w:pPr>
      <w:r>
        <w:rPr>
          <w:rFonts w:ascii="Times New Roman" w:cs="Times New Roman" w:eastAsia="Times New Roman" w:hAnsi="Times New Roman"/>
          <w:sz w:val="24"/>
          <w:szCs w:val="24"/>
          <w:color w:val="auto"/>
        </w:rPr>
        <w:t>CCFD is responsible for providing PPE, turnouts and other safety equipment and supplies to all CCFD personnel who are active in the field. These items must meet the NFPA’s safety standards. For FY 26, the City utilized two different joinder contracts between League of Oregon Cities and L.N. Curtis and Life-Assist through NPPGov for Globe G-XTREME 3.0 Jacket and Pants, other PPE, and other fire-related safety equipment and supplies, a few examples of equipment and supplies are specialized rope, hoses, nozzles, clamps, and saw blades.</w:t>
      </w:r>
    </w:p>
    <w:p>
      <w:pPr>
        <w:spacing w:after="0" w:line="243" w:lineRule="exact"/>
        <w:rPr>
          <w:sz w:val="24"/>
          <w:szCs w:val="24"/>
          <w:color w:val="auto"/>
        </w:rPr>
      </w:pPr>
    </w:p>
    <w:p>
      <w:pPr>
        <w:ind w:right="20"/>
        <w:spacing w:after="0" w:line="271" w:lineRule="auto"/>
        <w:rPr>
          <w:sz w:val="20"/>
          <w:szCs w:val="20"/>
          <w:color w:val="auto"/>
        </w:rPr>
      </w:pPr>
      <w:r>
        <w:rPr>
          <w:rFonts w:ascii="Times New Roman" w:cs="Times New Roman" w:eastAsia="Times New Roman" w:hAnsi="Times New Roman"/>
          <w:sz w:val="24"/>
          <w:szCs w:val="24"/>
          <w:color w:val="auto"/>
        </w:rPr>
        <w:t>The expenditures are anticipated to exceed the $150,000 purchase authority by an amount not to exceed $19,000. Throughout FY 2026, pricing with L.N. Curtis &amp; Sons was lower than Life-Assist, Inc., which</w:t>
      </w:r>
    </w:p>
    <w:p>
      <w:pPr>
        <w:sectPr>
          <w:pgSz w:w="12240" w:h="15840" w:orient="portrait"/>
          <w:cols w:equalWidth="0" w:num="1">
            <w:col w:w="10000"/>
          </w:cols>
          <w:pgMar w:left="1080" w:top="831" w:right="1160" w:bottom="657" w:gutter="0" w:footer="0" w:header="0"/>
          <w:type w:val="continuous"/>
        </w:sectPr>
      </w:pPr>
    </w:p>
    <w:p>
      <w:pPr>
        <w:spacing w:after="0"/>
        <w:rPr>
          <w:sz w:val="20"/>
          <w:szCs w:val="20"/>
          <w:color w:val="auto"/>
        </w:rPr>
      </w:pPr>
      <w:r>
        <w:rPr>
          <w:rFonts w:ascii="Times New Roman" w:cs="Times New Roman" w:eastAsia="Times New Roman" w:hAnsi="Times New Roman"/>
          <w:sz w:val="24"/>
          <w:szCs w:val="24"/>
          <w:color w:val="auto"/>
        </w:rPr>
        <w:t>led to an increase with L.N. Curtis &amp; Sons. There is a balance of $19,120 remaining on Life-Assist.</w:t>
      </w:r>
    </w:p>
    <w:p>
      <w:pPr>
        <w:spacing w:after="0" w:line="276" w:lineRule="exact"/>
        <w:rPr>
          <w:sz w:val="20"/>
          <w:szCs w:val="20"/>
          <w:color w:val="auto"/>
        </w:rPr>
      </w:pPr>
    </w:p>
    <w:p>
      <w:pPr>
        <w:spacing w:after="0" w:line="247" w:lineRule="auto"/>
        <w:rPr>
          <w:sz w:val="20"/>
          <w:szCs w:val="20"/>
          <w:color w:val="auto"/>
        </w:rPr>
      </w:pPr>
      <w:r>
        <w:rPr>
          <w:rFonts w:ascii="Times New Roman" w:cs="Times New Roman" w:eastAsia="Times New Roman" w:hAnsi="Times New Roman"/>
          <w:sz w:val="24"/>
          <w:szCs w:val="24"/>
          <w:color w:val="auto"/>
        </w:rPr>
        <w:t>The original purchase authority of $150,000 utilized joinder contracts between the League of Oregon Cities and L.N. Curtis &amp; Sons (joinder contracts PS20015 and PS20060), which expired March 26, 2026. The $19,000 increase in purchase authority would be through a successor joinder agreement (PS26220), also between the League of Oregon Cities and L.N. Curtis &amp; Sons, for the remainder of FY 2026.</w:t>
      </w:r>
    </w:p>
    <w:p>
      <w:pPr>
        <w:spacing w:after="0" w:line="236"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Joinder contract being utilized:</w:t>
      </w:r>
    </w:p>
    <w:p>
      <w:pPr>
        <w:spacing w:after="0" w:line="26" w:lineRule="exact"/>
        <w:rPr>
          <w:sz w:val="20"/>
          <w:szCs w:val="20"/>
          <w:color w:val="auto"/>
        </w:rPr>
      </w:pPr>
    </w:p>
    <w:p>
      <w:pPr>
        <w:ind w:right="880"/>
        <w:spacing w:after="0" w:line="244" w:lineRule="auto"/>
        <w:rPr>
          <w:sz w:val="20"/>
          <w:szCs w:val="20"/>
          <w:color w:val="auto"/>
        </w:rPr>
      </w:pPr>
      <w:r>
        <w:rPr>
          <w:rFonts w:ascii="Times New Roman" w:cs="Times New Roman" w:eastAsia="Times New Roman" w:hAnsi="Times New Roman"/>
          <w:sz w:val="24"/>
          <w:szCs w:val="24"/>
          <w:color w:val="auto"/>
        </w:rPr>
        <w:t>League of Oregon Cities and L.N. Curtis &amp; Sons, via NPPGov Contract# PS26220, expiring February 25, 2030. https://nppgov.com/contract/l-n-curtis-sons-fire-fighting-equipment-scba-and-protective-gear/</w:t>
      </w:r>
    </w:p>
    <w:p>
      <w:pPr>
        <w:spacing w:after="0" w:line="200" w:lineRule="exact"/>
        <w:rPr>
          <w:sz w:val="20"/>
          <w:szCs w:val="20"/>
          <w:color w:val="auto"/>
        </w:rPr>
      </w:pPr>
    </w:p>
    <w:p>
      <w:pPr>
        <w:spacing w:after="0" w:line="270" w:lineRule="exact"/>
        <w:rPr>
          <w:sz w:val="20"/>
          <w:szCs w:val="20"/>
          <w:color w:val="auto"/>
        </w:rPr>
      </w:pPr>
    </w:p>
    <w:p>
      <w:pPr>
        <w:ind w:right="4540"/>
        <w:spacing w:after="0" w:line="276" w:lineRule="auto"/>
        <w:rPr>
          <w:sz w:val="20"/>
          <w:szCs w:val="20"/>
          <w:color w:val="auto"/>
        </w:rPr>
      </w:pPr>
      <w:r>
        <w:rPr>
          <w:rFonts w:ascii="Times New Roman" w:cs="Times New Roman" w:eastAsia="Times New Roman" w:hAnsi="Times New Roman"/>
          <w:sz w:val="24"/>
          <w:szCs w:val="24"/>
          <w:b w:val="1"/>
          <w:bCs w:val="1"/>
          <w:u w:val="single" w:color="auto"/>
          <w:color w:val="auto"/>
        </w:rPr>
        <w:t xml:space="preserve">Applicable Statute, Code, Policy, Rule or Regulation </w:t>
      </w:r>
      <w:r>
        <w:rPr>
          <w:rFonts w:ascii="Times New Roman" w:cs="Times New Roman" w:eastAsia="Times New Roman" w:hAnsi="Times New Roman"/>
          <w:sz w:val="24"/>
          <w:szCs w:val="24"/>
          <w:color w:val="auto"/>
        </w:rPr>
        <w:t>NRS 332.195</w:t>
      </w:r>
    </w:p>
    <w:p>
      <w:pPr>
        <w:spacing w:after="0" w:line="15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Financial Information</w:t>
      </w:r>
    </w:p>
    <w:p>
      <w:pPr>
        <w:spacing w:after="0" w:line="32" w:lineRule="exact"/>
        <w:rPr>
          <w:sz w:val="20"/>
          <w:szCs w:val="20"/>
          <w:color w:val="auto"/>
        </w:rPr>
      </w:pPr>
    </w:p>
    <w:p>
      <w:pPr>
        <w:spacing w:after="0"/>
        <w:tabs>
          <w:tab w:leader="none" w:pos="2660" w:val="left"/>
        </w:tabs>
        <w:rPr>
          <w:sz w:val="20"/>
          <w:szCs w:val="20"/>
          <w:color w:val="auto"/>
        </w:rPr>
      </w:pPr>
      <w:r>
        <w:rPr>
          <w:rFonts w:ascii="Times New Roman" w:cs="Times New Roman" w:eastAsia="Times New Roman" w:hAnsi="Times New Roman"/>
          <w:sz w:val="24"/>
          <w:szCs w:val="24"/>
          <w:b w:val="1"/>
          <w:bCs w:val="1"/>
          <w:color w:val="auto"/>
        </w:rPr>
        <w:t>Is there a fiscal impact?</w:t>
      </w:r>
      <w:r>
        <w:rPr>
          <w:sz w:val="20"/>
          <w:szCs w:val="20"/>
          <w:color w:val="auto"/>
        </w:rPr>
        <w:tab/>
      </w:r>
      <w:r>
        <w:rPr>
          <w:rFonts w:ascii="Times New Roman" w:cs="Times New Roman" w:eastAsia="Times New Roman" w:hAnsi="Times New Roman"/>
          <w:sz w:val="23"/>
          <w:szCs w:val="23"/>
          <w:color w:val="auto"/>
        </w:rPr>
        <w:t>Yes</w:t>
      </w:r>
    </w:p>
    <w:p>
      <w:pPr>
        <w:spacing w:after="0" w:line="20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If yes, account name/number:</w:t>
      </w:r>
    </w:p>
    <w:p>
      <w:pPr>
        <w:spacing w:after="0" w:line="32"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General Fund Personnel Protective Equipment Account - 1012512 500668 and 1012545 500668</w:t>
      </w:r>
    </w:p>
    <w:p>
      <w:pPr>
        <w:spacing w:after="0" w:line="250"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General Fund Fire Rescue Tools and Equipment Account - 1012512 5000674</w:t>
      </w:r>
    </w:p>
    <w:p>
      <w:pPr>
        <w:spacing w:after="0" w:line="276" w:lineRule="exact"/>
        <w:rPr>
          <w:sz w:val="20"/>
          <w:szCs w:val="20"/>
          <w:color w:val="auto"/>
        </w:rPr>
      </w:pPr>
    </w:p>
    <w:p>
      <w:pPr>
        <w:ind w:right="2360"/>
        <w:spacing w:after="0" w:line="463" w:lineRule="auto"/>
        <w:rPr>
          <w:sz w:val="20"/>
          <w:szCs w:val="20"/>
          <w:color w:val="auto"/>
        </w:rPr>
      </w:pPr>
      <w:r>
        <w:rPr>
          <w:rFonts w:ascii="Times New Roman" w:cs="Times New Roman" w:eastAsia="Times New Roman" w:hAnsi="Times New Roman"/>
          <w:sz w:val="24"/>
          <w:szCs w:val="24"/>
          <w:color w:val="auto"/>
        </w:rPr>
        <w:t xml:space="preserve">General Fund Equipment Repair and Maintenance Account - 1012512-500430 General Fund Fire Academy &amp; Recruitment Account -1012520 500335 General Fund Supplied Uniforms Account - 1012515 500672 General Fund Operating Supplies Account -1012512 500625 Capitol Improvement Fund Capitol Improvement - 2102025 507010 </w:t>
      </w:r>
      <w:r>
        <w:rPr>
          <w:rFonts w:ascii="Times New Roman" w:cs="Times New Roman" w:eastAsia="Times New Roman" w:hAnsi="Times New Roman"/>
          <w:sz w:val="24"/>
          <w:szCs w:val="24"/>
          <w:b w:val="1"/>
          <w:bCs w:val="1"/>
          <w:color w:val="auto"/>
        </w:rPr>
        <w:t>Is it currently budgeted?</w:t>
      </w:r>
      <w:r>
        <w:rPr>
          <w:rFonts w:ascii="Times New Roman" w:cs="Times New Roman" w:eastAsia="Times New Roman" w:hAnsi="Times New Roman"/>
          <w:sz w:val="24"/>
          <w:szCs w:val="24"/>
          <w:color w:val="auto"/>
        </w:rPr>
        <w:t xml:space="preserve"> Yes</w:t>
      </w:r>
    </w:p>
    <w:p>
      <w:pPr>
        <w:spacing w:after="0" w:line="200" w:lineRule="exact"/>
        <w:rPr>
          <w:sz w:val="20"/>
          <w:szCs w:val="20"/>
          <w:color w:val="auto"/>
        </w:rPr>
      </w:pPr>
    </w:p>
    <w:p>
      <w:pPr>
        <w:spacing w:after="0" w:line="228" w:lineRule="exact"/>
        <w:rPr>
          <w:sz w:val="20"/>
          <w:szCs w:val="20"/>
          <w:color w:val="auto"/>
        </w:rPr>
      </w:pPr>
    </w:p>
    <w:p>
      <w:pPr>
        <w:ind w:right="520"/>
        <w:spacing w:after="0" w:line="249" w:lineRule="auto"/>
        <w:rPr>
          <w:sz w:val="20"/>
          <w:szCs w:val="20"/>
          <w:color w:val="auto"/>
        </w:rPr>
      </w:pPr>
      <w:r>
        <w:rPr>
          <w:rFonts w:ascii="Times New Roman" w:cs="Times New Roman" w:eastAsia="Times New Roman" w:hAnsi="Times New Roman"/>
          <w:sz w:val="24"/>
          <w:szCs w:val="24"/>
          <w:b w:val="1"/>
          <w:bCs w:val="1"/>
          <w:color w:val="auto"/>
        </w:rPr>
        <w:t>Explanation of Fiscal Impact:</w:t>
      </w:r>
      <w:r>
        <w:rPr>
          <w:rFonts w:ascii="Times New Roman" w:cs="Times New Roman" w:eastAsia="Times New Roman" w:hAnsi="Times New Roman"/>
          <w:sz w:val="24"/>
          <w:szCs w:val="24"/>
          <w:color w:val="auto"/>
        </w:rPr>
        <w:t xml:space="preserve"> If approved, the Personal Protective Equipment accounts &amp; Fire Rescue Tools and Equipment accounts will be reduced by a not to exceed amount of $19,000, the amount of the contract increase to $169,000 from the previous contract for Fiscal Year 2026. The available budget as of June 22, 2026, in 1012512-500668 is $0, 1012545-500668 is $4,197.81, 1012512-500674 is $7,898.81 and 1012512-500430 is $21,483.48.</w:t>
      </w:r>
    </w:p>
    <w:p>
      <w:pPr>
        <w:spacing w:after="0" w:line="18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Alternatives</w:t>
      </w:r>
    </w:p>
    <w:p>
      <w:pPr>
        <w:spacing w:after="0" w:line="32"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Do not ratify the increased purchase authority and/or provide alternative direction to staff.</w:t>
      </w:r>
    </w:p>
    <w:p>
      <w:pPr>
        <w:spacing w:after="0" w:line="20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Attachment(s):</w:t>
      </w:r>
    </w:p>
    <w:p>
      <w:pPr>
        <w:spacing w:after="0" w:line="32" w:lineRule="exact"/>
        <w:rPr>
          <w:sz w:val="20"/>
          <w:szCs w:val="20"/>
          <w:color w:val="auto"/>
        </w:rPr>
      </w:pPr>
    </w:p>
    <w:p>
      <w:pPr>
        <w:spacing w:after="0"/>
        <w:rPr>
          <w:rFonts w:ascii="Times New Roman" w:cs="Times New Roman" w:eastAsia="Times New Roman" w:hAnsi="Times New Roman"/>
          <w:sz w:val="24"/>
          <w:szCs w:val="24"/>
          <w:color w:val="0000EE"/>
        </w:rPr>
      </w:pPr>
      <w:hyperlink r:id="rId14">
        <w:r>
          <w:rPr>
            <w:rFonts w:ascii="Times New Roman" w:cs="Times New Roman" w:eastAsia="Times New Roman" w:hAnsi="Times New Roman"/>
            <w:sz w:val="24"/>
            <w:szCs w:val="24"/>
            <w:color w:val="0000EE"/>
          </w:rPr>
          <w:t>PS26220 L.N. Curtis Master Price Agreement.pdf</w:t>
        </w:r>
      </w:hyperlink>
    </w:p>
    <w:p>
      <w:pPr>
        <w:sectPr>
          <w:pgSz w:w="12240" w:h="15840" w:orient="portrait"/>
          <w:cols w:equalWidth="0" w:num="1">
            <w:col w:w="9900"/>
          </w:cols>
          <w:pgMar w:left="1080" w:top="831" w:right="1260" w:bottom="800" w:gutter="0" w:footer="0" w:header="0"/>
        </w:sectPr>
      </w:pPr>
    </w:p>
    <w:p>
      <w:pPr>
        <w:spacing w:after="0" w:line="200" w:lineRule="exact"/>
        <w:rPr>
          <w:sz w:val="20"/>
          <w:szCs w:val="20"/>
          <w:color w:val="auto"/>
        </w:rPr>
      </w:pPr>
    </w:p>
    <w:p>
      <w:pPr>
        <w:spacing w:after="0" w:line="290" w:lineRule="exact"/>
        <w:rPr>
          <w:sz w:val="20"/>
          <w:szCs w:val="20"/>
          <w:color w:val="auto"/>
        </w:rPr>
      </w:pPr>
    </w:p>
    <w:p>
      <w:pPr>
        <w:spacing w:after="0"/>
        <w:tabs>
          <w:tab w:leader="none" w:pos="3900" w:val="left"/>
          <w:tab w:leader="none" w:pos="6980" w:val="left"/>
        </w:tabs>
        <w:rPr>
          <w:sz w:val="20"/>
          <w:szCs w:val="20"/>
          <w:color w:val="auto"/>
        </w:rPr>
      </w:pPr>
      <w:r>
        <w:rPr>
          <w:rFonts w:ascii="Times New Roman" w:cs="Times New Roman" w:eastAsia="Times New Roman" w:hAnsi="Times New Roman"/>
          <w:sz w:val="24"/>
          <w:szCs w:val="24"/>
          <w:color w:val="auto"/>
        </w:rPr>
        <w:t>Motion: _________________</w:t>
      </w:r>
      <w:r>
        <w:rPr>
          <w:sz w:val="20"/>
          <w:szCs w:val="20"/>
          <w:color w:val="auto"/>
        </w:rPr>
        <w:tab/>
      </w:r>
      <w:r>
        <w:rPr>
          <w:rFonts w:ascii="Times New Roman" w:cs="Times New Roman" w:eastAsia="Times New Roman" w:hAnsi="Times New Roman"/>
          <w:sz w:val="24"/>
          <w:szCs w:val="24"/>
          <w:color w:val="auto"/>
        </w:rPr>
        <w:t>1) ________________</w:t>
      </w:r>
      <w:r>
        <w:rPr>
          <w:sz w:val="20"/>
          <w:szCs w:val="20"/>
          <w:color w:val="auto"/>
        </w:rPr>
        <w:tab/>
      </w:r>
      <w:r>
        <w:rPr>
          <w:rFonts w:ascii="Times New Roman" w:cs="Times New Roman" w:eastAsia="Times New Roman" w:hAnsi="Times New Roman"/>
          <w:sz w:val="24"/>
          <w:szCs w:val="24"/>
          <w:color w:val="auto"/>
        </w:rPr>
        <w:t>Aye/Nay</w:t>
      </w:r>
    </w:p>
    <w:p>
      <w:pPr>
        <w:sectPr>
          <w:pgSz w:w="12240" w:h="15840" w:orient="portrait"/>
          <w:cols w:equalWidth="0" w:num="1">
            <w:col w:w="9900"/>
          </w:cols>
          <w:pgMar w:left="1080" w:top="831" w:right="1260" w:bottom="800" w:gutter="0" w:footer="0" w:header="0"/>
          <w:type w:val="continuous"/>
        </w:sectPr>
      </w:pPr>
    </w:p>
    <w:p>
      <w:pPr>
        <w:ind w:left="3660"/>
        <w:spacing w:after="0"/>
        <w:rPr>
          <w:sz w:val="20"/>
          <w:szCs w:val="20"/>
          <w:color w:val="auto"/>
        </w:rPr>
      </w:pPr>
      <w:r>
        <w:rPr>
          <w:rFonts w:ascii="Times New Roman" w:cs="Times New Roman" w:eastAsia="Times New Roman" w:hAnsi="Times New Roman"/>
          <w:sz w:val="23"/>
          <w:szCs w:val="23"/>
          <w:color w:val="auto"/>
        </w:rPr>
        <w:t>2) ________________</w:t>
      </w:r>
    </w:p>
    <w:p>
      <w:pPr>
        <w:spacing w:after="0" w:line="20" w:lineRule="exact"/>
        <w:rPr>
          <w:sz w:val="20"/>
          <w:szCs w:val="20"/>
          <w:color w:val="auto"/>
        </w:rPr>
      </w:pPr>
      <w:r>
        <w:rPr>
          <w:sz w:val="20"/>
          <w:szCs w:val="20"/>
          <w:color w:val="auto"/>
        </w:rPr>
        <w:br w:type="column"/>
      </w:r>
    </w:p>
    <w:p>
      <w:pPr>
        <w:spacing w:after="0"/>
        <w:rPr>
          <w:sz w:val="20"/>
          <w:szCs w:val="20"/>
          <w:color w:val="auto"/>
        </w:rPr>
      </w:pPr>
      <w:r>
        <w:rPr>
          <w:rFonts w:ascii="Times New Roman" w:cs="Times New Roman" w:eastAsia="Times New Roman" w:hAnsi="Times New Roman"/>
          <w:sz w:val="24"/>
          <w:szCs w:val="24"/>
          <w:color w:val="auto"/>
        </w:rPr>
        <w:t>__________</w:t>
      </w:r>
    </w:p>
    <w:p>
      <w:pPr>
        <w:spacing w:after="0" w:line="26"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__________</w:t>
      </w:r>
    </w:p>
    <w:p>
      <w:pPr>
        <w:spacing w:after="0"/>
        <w:rPr>
          <w:sz w:val="20"/>
          <w:szCs w:val="20"/>
          <w:color w:val="auto"/>
        </w:rPr>
      </w:pPr>
      <w:r>
        <w:rPr>
          <w:rFonts w:ascii="Times New Roman" w:cs="Times New Roman" w:eastAsia="Times New Roman" w:hAnsi="Times New Roman"/>
          <w:sz w:val="24"/>
          <w:szCs w:val="24"/>
          <w:color w:val="auto"/>
        </w:rPr>
        <w:t>__________</w:t>
      </w:r>
    </w:p>
    <w:p>
      <w:pPr>
        <w:spacing w:after="0"/>
        <w:rPr>
          <w:sz w:val="20"/>
          <w:szCs w:val="20"/>
          <w:color w:val="auto"/>
        </w:rPr>
      </w:pPr>
      <w:r>
        <w:rPr>
          <w:rFonts w:ascii="Times New Roman" w:cs="Times New Roman" w:eastAsia="Times New Roman" w:hAnsi="Times New Roman"/>
          <w:sz w:val="24"/>
          <w:szCs w:val="24"/>
          <w:color w:val="auto"/>
        </w:rPr>
        <w:t>__________</w:t>
      </w:r>
    </w:p>
    <w:p>
      <w:pPr>
        <w:spacing w:after="0"/>
        <w:rPr>
          <w:sz w:val="20"/>
          <w:szCs w:val="20"/>
          <w:color w:val="auto"/>
        </w:rPr>
      </w:pPr>
      <w:r>
        <w:rPr>
          <w:rFonts w:ascii="Times New Roman" w:cs="Times New Roman" w:eastAsia="Times New Roman" w:hAnsi="Times New Roman"/>
          <w:sz w:val="24"/>
          <w:szCs w:val="24"/>
          <w:color w:val="auto"/>
        </w:rPr>
        <w:t>__________</w:t>
      </w:r>
    </w:p>
    <w:p>
      <w:pPr>
        <w:spacing w:after="0" w:line="1" w:lineRule="exact"/>
        <w:rPr>
          <w:sz w:val="20"/>
          <w:szCs w:val="20"/>
          <w:color w:val="auto"/>
        </w:rPr>
      </w:pPr>
    </w:p>
    <w:p>
      <w:pPr>
        <w:sectPr>
          <w:pgSz w:w="12240" w:h="15840" w:orient="portrait"/>
          <w:cols w:equalWidth="0" w:num="2">
            <w:col w:w="6020" w:space="720"/>
            <w:col w:w="2720"/>
          </w:cols>
          <w:pgMar w:left="1340" w:top="831" w:right="1440" w:bottom="1440" w:gutter="0" w:footer="0" w:header="0"/>
        </w:sectPr>
      </w:pPr>
    </w:p>
    <w:p>
      <w:pPr>
        <w:spacing w:after="0"/>
        <w:rPr>
          <w:sz w:val="20"/>
          <w:szCs w:val="20"/>
          <w:color w:val="auto"/>
        </w:rPr>
      </w:pPr>
      <w:r>
        <w:rPr>
          <w:rFonts w:ascii="Times New Roman" w:cs="Times New Roman" w:eastAsia="Times New Roman" w:hAnsi="Times New Roman"/>
          <w:sz w:val="24"/>
          <w:szCs w:val="24"/>
          <w:color w:val="auto"/>
        </w:rPr>
        <w:t>_____________________________</w:t>
      </w:r>
    </w:p>
    <w:p>
      <w:pPr>
        <w:ind w:left="760"/>
        <w:spacing w:after="0"/>
        <w:rPr>
          <w:sz w:val="20"/>
          <w:szCs w:val="20"/>
          <w:color w:val="auto"/>
        </w:rPr>
      </w:pPr>
      <w:r>
        <w:rPr>
          <w:rFonts w:ascii="Times New Roman" w:cs="Times New Roman" w:eastAsia="Times New Roman" w:hAnsi="Times New Roman"/>
          <w:sz w:val="24"/>
          <w:szCs w:val="24"/>
          <w:color w:val="auto"/>
        </w:rPr>
        <w:t>(Vote Recorded By)</w:t>
      </w:r>
    </w:p>
    <w:sectPr>
      <w:pgSz w:w="12240" w:h="15840" w:orient="portrait"/>
      <w:cols w:equalWidth="0" w:num="1">
        <w:col w:w="9460"/>
      </w:cols>
      <w:pgMar w:left="1340" w:top="831" w:right="1440" w:bottom="144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http://schemas.openxmlformats.org/wordprocessingml/2006/main">
  <w:abstractNum w:abstractNumId="0">
    <w:nsid w:val="72AE"/>
    <w:multiLevelType w:val="hybridMultilevel"/>
    <w:lvl w:ilvl="0">
      <w:lvlJc w:val="left"/>
      <w:lvlText w:val="&amp;"/>
      <w:numFmt w:val="bullet"/>
      <w:start w:val="1"/>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webSettings" Target="webSettings.xml"/><Relationship Id="rId11" Type="http://schemas.openxmlformats.org/officeDocument/2006/relationships/numbering" Target="numbering.xml"/><Relationship Id="rId12" Type="http://schemas.openxmlformats.org/officeDocument/2006/relationships/image" Target="media/image1.jpeg"/><Relationship Id="rId13" Type="http://schemas.openxmlformats.org/officeDocument/2006/relationships/image" Target="media/image2.png"/><Relationship Id="rId14" Type="http://schemas.openxmlformats.org/officeDocument/2006/relationships/hyperlink" Target="https://carsoncity.granicus.com/services/legistar/download/pdf/4204436/PS26220_L.N._Curtis_Master_Price_Agreement.pdf" TargetMode="External"/></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2026-06-25T19:55:09Z</dcterms:created>
  <dcterms:modified xsi:type="dcterms:W3CDTF">2026-06-25T19:55:09Z</dcterms:modified>
</cp:coreProperties>
</file>