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ind w:left="7880"/>
        <w:spacing w:after="0"/>
        <w:rPr>
          <w:sz w:val="20"/>
          <w:szCs w:val="20"/>
          <w:color w:val="auto"/>
        </w:rPr>
      </w:pPr>
      <w:r>
        <w:rPr>
          <w:rFonts w:ascii="Times New Roman" w:cs="Times New Roman" w:eastAsia="Times New Roman" w:hAnsi="Times New Roman"/>
          <w:sz w:val="24"/>
          <w:szCs w:val="24"/>
          <w:color w:val="auto"/>
        </w:rPr>
        <w:t>Agenda Item No: 11.c</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15240</wp:posOffset>
            </wp:positionV>
            <wp:extent cx="1234440" cy="9220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extLst>
                    </a:blip>
                    <a:srcRect/>
                    <a:stretch>
                      <a:fillRect/>
                    </a:stretch>
                  </pic:blipFill>
                  <pic:spPr bwMode="auto">
                    <a:xfrm>
                      <a:off x="0" y="0"/>
                      <a:ext cx="1234440" cy="922020"/>
                    </a:xfrm>
                    <a:prstGeom prst="rect">
                      <a:avLst/>
                    </a:prstGeom>
                    <a:noFill/>
                  </pic:spPr>
                </pic:pic>
              </a:graphicData>
            </a:graphic>
          </wp:anchor>
        </w:drawing>
      </w:r>
    </w:p>
    <w:p>
      <w:pPr>
        <w:spacing w:after="0" w:line="200" w:lineRule="exact"/>
        <w:rPr>
          <w:sz w:val="24"/>
          <w:szCs w:val="24"/>
          <w:color w:val="auto"/>
        </w:rPr>
      </w:pPr>
    </w:p>
    <w:p>
      <w:pPr>
        <w:spacing w:after="0" w:line="311" w:lineRule="exact"/>
        <w:rPr>
          <w:sz w:val="24"/>
          <w:szCs w:val="24"/>
          <w:color w:val="auto"/>
        </w:rPr>
      </w:pPr>
    </w:p>
    <w:p>
      <w:pPr>
        <w:ind w:left="2200"/>
        <w:spacing w:after="0"/>
        <w:rPr>
          <w:sz w:val="20"/>
          <w:szCs w:val="20"/>
          <w:color w:val="auto"/>
        </w:rPr>
      </w:pPr>
      <w:r>
        <w:rPr>
          <w:rFonts w:ascii="Times New Roman" w:cs="Times New Roman" w:eastAsia="Times New Roman" w:hAnsi="Times New Roman"/>
          <w:sz w:val="36"/>
          <w:szCs w:val="36"/>
          <w:b w:val="1"/>
          <w:bCs w:val="1"/>
          <w:color w:val="auto"/>
        </w:rPr>
        <w:t>STAFF REPORT</w:t>
      </w:r>
    </w:p>
    <w:p>
      <w:pPr>
        <w:spacing w:after="0" w:line="200" w:lineRule="exact"/>
        <w:rPr>
          <w:sz w:val="24"/>
          <w:szCs w:val="24"/>
          <w:color w:val="auto"/>
        </w:rPr>
      </w:pPr>
    </w:p>
    <w:p>
      <w:pPr>
        <w:spacing w:after="0" w:line="200" w:lineRule="exact"/>
        <w:rPr>
          <w:sz w:val="24"/>
          <w:szCs w:val="24"/>
          <w:color w:val="auto"/>
        </w:rPr>
      </w:pPr>
    </w:p>
    <w:p>
      <w:pPr>
        <w:spacing w:after="0" w:line="341" w:lineRule="exact"/>
        <w:rPr>
          <w:sz w:val="24"/>
          <w:szCs w:val="24"/>
          <w:color w:val="auto"/>
        </w:rPr>
      </w:pPr>
    </w:p>
    <w:tbl>
      <w:tblPr>
        <w:tblLayout w:type="fixed"/>
        <w:tblInd w:w="0" w:type="dxa"/>
        <w:tblCellMar>
          <w:top w:w="0" w:type="dxa"/>
          <w:left w:w="0" w:type="dxa"/>
          <w:bottom w:w="0" w:type="dxa"/>
          <w:right w:w="0" w:type="dxa"/>
        </w:tblCellMar>
      </w:tblPr>
      <w:tr>
        <w:trPr>
          <w:trHeight w:val="318"/>
        </w:trPr>
        <w:tc>
          <w:tcPr>
            <w:tcW w:w="190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Report To:</w:t>
            </w:r>
          </w:p>
        </w:tc>
        <w:tc>
          <w:tcPr>
            <w:tcW w:w="2840" w:type="dxa"/>
            <w:vAlign w:val="bottom"/>
          </w:tcPr>
          <w:p>
            <w:pPr>
              <w:ind w:left="300"/>
              <w:spacing w:after="0"/>
              <w:rPr>
                <w:sz w:val="20"/>
                <w:szCs w:val="20"/>
                <w:color w:val="auto"/>
              </w:rPr>
            </w:pPr>
            <w:r>
              <w:rPr>
                <w:rFonts w:ascii="Times New Roman" w:cs="Times New Roman" w:eastAsia="Times New Roman" w:hAnsi="Times New Roman"/>
                <w:sz w:val="24"/>
                <w:szCs w:val="24"/>
                <w:color w:val="auto"/>
              </w:rPr>
              <w:t>Board of Supervisors</w:t>
            </w:r>
          </w:p>
        </w:tc>
        <w:tc>
          <w:tcPr>
            <w:tcW w:w="2120" w:type="dxa"/>
            <w:vAlign w:val="bottom"/>
          </w:tcPr>
          <w:p>
            <w:pPr>
              <w:ind w:left="260"/>
              <w:spacing w:after="0"/>
              <w:rPr>
                <w:sz w:val="20"/>
                <w:szCs w:val="20"/>
                <w:color w:val="auto"/>
              </w:rPr>
            </w:pPr>
            <w:r>
              <w:rPr>
                <w:rFonts w:ascii="Times New Roman" w:cs="Times New Roman" w:eastAsia="Times New Roman" w:hAnsi="Times New Roman"/>
                <w:sz w:val="24"/>
                <w:szCs w:val="24"/>
                <w:b w:val="1"/>
                <w:bCs w:val="1"/>
                <w:color w:val="auto"/>
              </w:rPr>
              <w:t>Meeting Date:</w:t>
            </w:r>
          </w:p>
        </w:tc>
        <w:tc>
          <w:tcPr>
            <w:tcW w:w="318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July 2, 2026</w:t>
            </w:r>
          </w:p>
        </w:tc>
      </w:tr>
      <w:tr>
        <w:trPr>
          <w:trHeight w:val="516"/>
        </w:trPr>
        <w:tc>
          <w:tcPr>
            <w:tcW w:w="190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Staff Contact:</w:t>
            </w:r>
          </w:p>
        </w:tc>
        <w:tc>
          <w:tcPr>
            <w:tcW w:w="8120" w:type="dxa"/>
            <w:vAlign w:val="bottom"/>
            <w:gridSpan w:val="3"/>
          </w:tcPr>
          <w:p>
            <w:pPr>
              <w:ind w:left="300"/>
              <w:spacing w:after="0"/>
              <w:rPr>
                <w:sz w:val="20"/>
                <w:szCs w:val="20"/>
                <w:color w:val="auto"/>
              </w:rPr>
            </w:pPr>
            <w:r>
              <w:rPr>
                <w:rFonts w:ascii="Times New Roman" w:cs="Times New Roman" w:eastAsia="Times New Roman" w:hAnsi="Times New Roman"/>
                <w:sz w:val="24"/>
                <w:szCs w:val="24"/>
                <w:color w:val="auto"/>
              </w:rPr>
              <w:t>Carol Akers, Purchasing and Contracts Administrator</w:t>
            </w:r>
          </w:p>
        </w:tc>
      </w:tr>
      <w:tr>
        <w:trPr>
          <w:trHeight w:val="480"/>
        </w:trPr>
        <w:tc>
          <w:tcPr>
            <w:tcW w:w="190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Agenda Title:</w:t>
            </w:r>
          </w:p>
        </w:tc>
        <w:tc>
          <w:tcPr>
            <w:tcW w:w="8120" w:type="dxa"/>
            <w:vAlign w:val="bottom"/>
            <w:gridSpan w:val="3"/>
          </w:tcPr>
          <w:p>
            <w:pPr>
              <w:ind w:left="300"/>
              <w:spacing w:after="0"/>
              <w:rPr>
                <w:sz w:val="20"/>
                <w:szCs w:val="20"/>
                <w:color w:val="auto"/>
              </w:rPr>
            </w:pPr>
            <w:r>
              <w:rPr>
                <w:rFonts w:ascii="Times New Roman" w:cs="Times New Roman" w:eastAsia="Times New Roman" w:hAnsi="Times New Roman"/>
                <w:sz w:val="24"/>
                <w:szCs w:val="24"/>
                <w:color w:val="auto"/>
              </w:rPr>
              <w:t>For  Possible  Action:  Discussion  and  possible  action  regarding  a  third</w:t>
            </w:r>
          </w:p>
        </w:tc>
      </w:tr>
      <w:tr>
        <w:trPr>
          <w:trHeight w:val="276"/>
        </w:trPr>
        <w:tc>
          <w:tcPr>
            <w:tcW w:w="1900" w:type="dxa"/>
            <w:vAlign w:val="bottom"/>
          </w:tcPr>
          <w:p>
            <w:pPr>
              <w:spacing w:after="0"/>
              <w:rPr>
                <w:sz w:val="24"/>
                <w:szCs w:val="24"/>
                <w:color w:val="auto"/>
              </w:rPr>
            </w:pPr>
          </w:p>
        </w:tc>
        <w:tc>
          <w:tcPr>
            <w:tcW w:w="8120" w:type="dxa"/>
            <w:vAlign w:val="bottom"/>
            <w:gridSpan w:val="3"/>
          </w:tcPr>
          <w:p>
            <w:pPr>
              <w:ind w:left="300"/>
              <w:spacing w:after="0"/>
              <w:rPr>
                <w:sz w:val="20"/>
                <w:szCs w:val="20"/>
                <w:color w:val="auto"/>
              </w:rPr>
            </w:pPr>
            <w:r>
              <w:rPr>
                <w:rFonts w:ascii="Times New Roman" w:cs="Times New Roman" w:eastAsia="Times New Roman" w:hAnsi="Times New Roman"/>
                <w:sz w:val="24"/>
                <w:szCs w:val="24"/>
                <w:color w:val="auto"/>
              </w:rPr>
              <w:t>amendment ("Amendment 3") to Contract No. 24300067 for Daniel J. Spence to</w:t>
            </w:r>
          </w:p>
        </w:tc>
      </w:tr>
      <w:tr>
        <w:trPr>
          <w:trHeight w:val="276"/>
        </w:trPr>
        <w:tc>
          <w:tcPr>
            <w:tcW w:w="1900" w:type="dxa"/>
            <w:vAlign w:val="bottom"/>
          </w:tcPr>
          <w:p>
            <w:pPr>
              <w:spacing w:after="0"/>
              <w:rPr>
                <w:sz w:val="24"/>
                <w:szCs w:val="24"/>
                <w:color w:val="auto"/>
              </w:rPr>
            </w:pPr>
          </w:p>
        </w:tc>
        <w:tc>
          <w:tcPr>
            <w:tcW w:w="8120" w:type="dxa"/>
            <w:vAlign w:val="bottom"/>
            <w:gridSpan w:val="3"/>
          </w:tcPr>
          <w:p>
            <w:pPr>
              <w:ind w:left="300"/>
              <w:spacing w:after="0"/>
              <w:rPr>
                <w:sz w:val="20"/>
                <w:szCs w:val="20"/>
                <w:color w:val="auto"/>
              </w:rPr>
            </w:pPr>
            <w:r>
              <w:rPr>
                <w:rFonts w:ascii="Times New Roman" w:cs="Times New Roman" w:eastAsia="Times New Roman" w:hAnsi="Times New Roman"/>
                <w:sz w:val="24"/>
                <w:szCs w:val="24"/>
                <w:color w:val="auto"/>
              </w:rPr>
              <w:t>provide indigent defense conflict counsel services from July 1, 2023, through</w:t>
            </w:r>
          </w:p>
        </w:tc>
      </w:tr>
      <w:tr>
        <w:trPr>
          <w:trHeight w:val="276"/>
        </w:trPr>
        <w:tc>
          <w:tcPr>
            <w:tcW w:w="1900" w:type="dxa"/>
            <w:vAlign w:val="bottom"/>
          </w:tcPr>
          <w:p>
            <w:pPr>
              <w:spacing w:after="0"/>
              <w:rPr>
                <w:sz w:val="24"/>
                <w:szCs w:val="24"/>
                <w:color w:val="auto"/>
              </w:rPr>
            </w:pPr>
          </w:p>
        </w:tc>
        <w:tc>
          <w:tcPr>
            <w:tcW w:w="8120" w:type="dxa"/>
            <w:vAlign w:val="bottom"/>
            <w:gridSpan w:val="3"/>
          </w:tcPr>
          <w:p>
            <w:pPr>
              <w:ind w:left="300"/>
              <w:spacing w:after="0"/>
              <w:rPr>
                <w:sz w:val="20"/>
                <w:szCs w:val="20"/>
                <w:color w:val="auto"/>
              </w:rPr>
            </w:pPr>
            <w:r>
              <w:rPr>
                <w:rFonts w:ascii="Times New Roman" w:cs="Times New Roman" w:eastAsia="Times New Roman" w:hAnsi="Times New Roman"/>
                <w:sz w:val="24"/>
                <w:szCs w:val="24"/>
                <w:color w:val="auto"/>
              </w:rPr>
              <w:t>June 30, 2026, with Amendment 3 increasing the total contract not to exceed</w:t>
            </w:r>
          </w:p>
        </w:tc>
      </w:tr>
      <w:tr>
        <w:trPr>
          <w:trHeight w:val="276"/>
        </w:trPr>
        <w:tc>
          <w:tcPr>
            <w:tcW w:w="1900" w:type="dxa"/>
            <w:vAlign w:val="bottom"/>
          </w:tcPr>
          <w:p>
            <w:pPr>
              <w:spacing w:after="0"/>
              <w:rPr>
                <w:sz w:val="24"/>
                <w:szCs w:val="24"/>
                <w:color w:val="auto"/>
              </w:rPr>
            </w:pPr>
          </w:p>
        </w:tc>
        <w:tc>
          <w:tcPr>
            <w:tcW w:w="8120" w:type="dxa"/>
            <w:vAlign w:val="bottom"/>
            <w:gridSpan w:val="3"/>
          </w:tcPr>
          <w:p>
            <w:pPr>
              <w:ind w:left="300"/>
              <w:spacing w:after="0"/>
              <w:rPr>
                <w:sz w:val="20"/>
                <w:szCs w:val="20"/>
                <w:color w:val="auto"/>
              </w:rPr>
            </w:pPr>
            <w:r>
              <w:rPr>
                <w:rFonts w:ascii="Times New Roman" w:cs="Times New Roman" w:eastAsia="Times New Roman" w:hAnsi="Times New Roman"/>
                <w:sz w:val="24"/>
                <w:szCs w:val="24"/>
                <w:color w:val="auto"/>
              </w:rPr>
              <w:t>amount by $53,625.23 for additional services provided between January 1, 2025,</w:t>
            </w:r>
          </w:p>
        </w:tc>
      </w:tr>
      <w:tr>
        <w:trPr>
          <w:trHeight w:val="276"/>
        </w:trPr>
        <w:tc>
          <w:tcPr>
            <w:tcW w:w="1900" w:type="dxa"/>
            <w:vAlign w:val="bottom"/>
          </w:tcPr>
          <w:p>
            <w:pPr>
              <w:spacing w:after="0"/>
              <w:rPr>
                <w:sz w:val="24"/>
                <w:szCs w:val="24"/>
                <w:color w:val="auto"/>
              </w:rPr>
            </w:pPr>
          </w:p>
        </w:tc>
        <w:tc>
          <w:tcPr>
            <w:tcW w:w="8120" w:type="dxa"/>
            <w:vAlign w:val="bottom"/>
            <w:gridSpan w:val="3"/>
          </w:tcPr>
          <w:p>
            <w:pPr>
              <w:ind w:left="300"/>
              <w:spacing w:after="0"/>
              <w:rPr>
                <w:sz w:val="20"/>
                <w:szCs w:val="20"/>
                <w:color w:val="auto"/>
              </w:rPr>
            </w:pPr>
            <w:r>
              <w:rPr>
                <w:rFonts w:ascii="Times New Roman" w:cs="Times New Roman" w:eastAsia="Times New Roman" w:hAnsi="Times New Roman"/>
                <w:sz w:val="24"/>
                <w:szCs w:val="24"/>
                <w:color w:val="auto"/>
              </w:rPr>
              <w:t>and  May  31,  2026,  resulting  in  a  total  contract  amount  not  to  exceed</w:t>
            </w:r>
          </w:p>
        </w:tc>
      </w:tr>
      <w:tr>
        <w:trPr>
          <w:trHeight w:val="276"/>
        </w:trPr>
        <w:tc>
          <w:tcPr>
            <w:tcW w:w="1900" w:type="dxa"/>
            <w:vAlign w:val="bottom"/>
          </w:tcPr>
          <w:p>
            <w:pPr>
              <w:spacing w:after="0"/>
              <w:rPr>
                <w:sz w:val="24"/>
                <w:szCs w:val="24"/>
                <w:color w:val="auto"/>
              </w:rPr>
            </w:pPr>
          </w:p>
        </w:tc>
        <w:tc>
          <w:tcPr>
            <w:tcW w:w="8120" w:type="dxa"/>
            <w:vAlign w:val="bottom"/>
            <w:gridSpan w:val="3"/>
          </w:tcPr>
          <w:p>
            <w:pPr>
              <w:ind w:left="300"/>
              <w:spacing w:after="0"/>
              <w:rPr>
                <w:sz w:val="20"/>
                <w:szCs w:val="20"/>
                <w:color w:val="auto"/>
              </w:rPr>
            </w:pPr>
            <w:r>
              <w:rPr>
                <w:rFonts w:ascii="Times New Roman" w:cs="Times New Roman" w:eastAsia="Times New Roman" w:hAnsi="Times New Roman"/>
                <w:sz w:val="24"/>
                <w:szCs w:val="24"/>
                <w:color w:val="auto"/>
              </w:rPr>
              <w:t>$868,006.79.  (Carol  Akers,  cakers@carsoncity.gov  and  Stephanie  Hicks,</w:t>
            </w:r>
          </w:p>
        </w:tc>
      </w:tr>
      <w:tr>
        <w:trPr>
          <w:trHeight w:val="312"/>
        </w:trPr>
        <w:tc>
          <w:tcPr>
            <w:tcW w:w="1900" w:type="dxa"/>
            <w:vAlign w:val="bottom"/>
          </w:tcPr>
          <w:p>
            <w:pPr>
              <w:spacing w:after="0"/>
              <w:rPr>
                <w:sz w:val="24"/>
                <w:szCs w:val="24"/>
                <w:color w:val="auto"/>
              </w:rPr>
            </w:pPr>
          </w:p>
        </w:tc>
        <w:tc>
          <w:tcPr>
            <w:tcW w:w="2840" w:type="dxa"/>
            <w:vAlign w:val="bottom"/>
          </w:tcPr>
          <w:p>
            <w:pPr>
              <w:ind w:left="300"/>
              <w:spacing w:after="0"/>
              <w:rPr>
                <w:sz w:val="20"/>
                <w:szCs w:val="20"/>
                <w:color w:val="auto"/>
              </w:rPr>
            </w:pPr>
            <w:r>
              <w:rPr>
                <w:rFonts w:ascii="Times New Roman" w:cs="Times New Roman" w:eastAsia="Times New Roman" w:hAnsi="Times New Roman"/>
                <w:sz w:val="24"/>
                <w:szCs w:val="24"/>
                <w:color w:val="auto"/>
              </w:rPr>
              <w:t>shicks@carsoncity.gov)</w:t>
            </w:r>
          </w:p>
        </w:tc>
        <w:tc>
          <w:tcPr>
            <w:tcW w:w="2120" w:type="dxa"/>
            <w:vAlign w:val="bottom"/>
          </w:tcPr>
          <w:p>
            <w:pPr>
              <w:spacing w:after="0"/>
              <w:rPr>
                <w:sz w:val="24"/>
                <w:szCs w:val="24"/>
                <w:color w:val="auto"/>
              </w:rPr>
            </w:pPr>
          </w:p>
        </w:tc>
        <w:tc>
          <w:tcPr>
            <w:tcW w:w="3180" w:type="dxa"/>
            <w:vAlign w:val="bottom"/>
          </w:tcPr>
          <w:p>
            <w:pPr>
              <w:spacing w:after="0"/>
              <w:rPr>
                <w:sz w:val="24"/>
                <w:szCs w:val="24"/>
                <w:color w:val="auto"/>
              </w:rPr>
            </w:pPr>
          </w:p>
        </w:tc>
      </w:tr>
      <w:tr>
        <w:trPr>
          <w:trHeight w:val="516"/>
        </w:trPr>
        <w:tc>
          <w:tcPr>
            <w:tcW w:w="1900" w:type="dxa"/>
            <w:vAlign w:val="bottom"/>
          </w:tcPr>
          <w:p>
            <w:pPr>
              <w:spacing w:after="0"/>
              <w:rPr>
                <w:sz w:val="20"/>
                <w:szCs w:val="20"/>
                <w:color w:val="auto"/>
              </w:rPr>
            </w:pPr>
            <w:r>
              <w:rPr>
                <w:rFonts w:ascii="Times New Roman" w:cs="Times New Roman" w:eastAsia="Times New Roman" w:hAnsi="Times New Roman"/>
                <w:sz w:val="24"/>
                <w:szCs w:val="24"/>
                <w:b w:val="1"/>
                <w:bCs w:val="1"/>
                <w:color w:val="auto"/>
              </w:rPr>
              <w:t>Agenda Action:</w:t>
            </w:r>
          </w:p>
        </w:tc>
        <w:tc>
          <w:tcPr>
            <w:tcW w:w="2840" w:type="dxa"/>
            <w:vAlign w:val="bottom"/>
          </w:tcPr>
          <w:p>
            <w:pPr>
              <w:ind w:left="300"/>
              <w:spacing w:after="0"/>
              <w:rPr>
                <w:sz w:val="20"/>
                <w:szCs w:val="20"/>
                <w:color w:val="auto"/>
              </w:rPr>
            </w:pPr>
            <w:r>
              <w:rPr>
                <w:rFonts w:ascii="Times New Roman" w:cs="Times New Roman" w:eastAsia="Times New Roman" w:hAnsi="Times New Roman"/>
                <w:sz w:val="24"/>
                <w:szCs w:val="24"/>
                <w:color w:val="auto"/>
              </w:rPr>
              <w:t>Formal Action / Motion</w:t>
            </w:r>
          </w:p>
        </w:tc>
        <w:tc>
          <w:tcPr>
            <w:tcW w:w="2120" w:type="dxa"/>
            <w:vAlign w:val="bottom"/>
          </w:tcPr>
          <w:p>
            <w:pPr>
              <w:ind w:left="260"/>
              <w:spacing w:after="0"/>
              <w:rPr>
                <w:sz w:val="20"/>
                <w:szCs w:val="20"/>
                <w:color w:val="auto"/>
              </w:rPr>
            </w:pPr>
            <w:r>
              <w:rPr>
                <w:rFonts w:ascii="Times New Roman" w:cs="Times New Roman" w:eastAsia="Times New Roman" w:hAnsi="Times New Roman"/>
                <w:sz w:val="24"/>
                <w:szCs w:val="24"/>
                <w:b w:val="1"/>
                <w:bCs w:val="1"/>
                <w:color w:val="auto"/>
              </w:rPr>
              <w:t>Time Requested:</w:t>
            </w:r>
          </w:p>
        </w:tc>
        <w:tc>
          <w:tcPr>
            <w:tcW w:w="318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Consent</w:t>
            </w:r>
          </w:p>
        </w:tc>
      </w:tr>
    </w:tbl>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220980</wp:posOffset>
            </wp:positionV>
            <wp:extent cx="6362700" cy="304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6362700" cy="30480"/>
                    </a:xfrm>
                    <a:prstGeom prst="rect">
                      <a:avLst/>
                    </a:prstGeom>
                    <a:noFill/>
                  </pic:spPr>
                </pic:pic>
              </a:graphicData>
            </a:graphic>
          </wp:anchor>
        </w:drawing>
      </w:r>
    </w:p>
    <w:p>
      <w:pPr>
        <w:spacing w:after="0" w:line="200" w:lineRule="exact"/>
        <w:rPr>
          <w:sz w:val="24"/>
          <w:szCs w:val="24"/>
          <w:color w:val="auto"/>
        </w:rPr>
      </w:pPr>
    </w:p>
    <w:p>
      <w:pPr>
        <w:spacing w:after="0" w:line="386"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Proposed Motion</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I move to approve Amendment 3 as presented.</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Board's Strategic Goal</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Efficient Government</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Previous Action</w:t>
      </w:r>
    </w:p>
    <w:p>
      <w:pPr>
        <w:spacing w:after="0" w:line="32" w:lineRule="exact"/>
        <w:rPr>
          <w:sz w:val="24"/>
          <w:szCs w:val="24"/>
          <w:color w:val="auto"/>
        </w:rPr>
      </w:pPr>
    </w:p>
    <w:p>
      <w:pPr>
        <w:ind w:right="80"/>
        <w:spacing w:after="0" w:line="242" w:lineRule="auto"/>
        <w:rPr>
          <w:sz w:val="20"/>
          <w:szCs w:val="20"/>
          <w:color w:val="auto"/>
        </w:rPr>
      </w:pPr>
      <w:r>
        <w:rPr>
          <w:rFonts w:ascii="Times New Roman" w:cs="Times New Roman" w:eastAsia="Times New Roman" w:hAnsi="Times New Roman"/>
          <w:sz w:val="24"/>
          <w:szCs w:val="24"/>
          <w:color w:val="auto"/>
        </w:rPr>
        <w:t>June 20, 2025 (Item 14j) – The Board of Supervisors (“Board”) approved the second amendment to Contract No. 24300067 (“Amendment 2”), which increased the contract amount by $172,982.36 during Fiscal Year ("FY") 2026 in exchange for Mr. Spence taking on the indigent criminal defense caseload and administrative responsibilities previously assigned to Maria Pence, Esq. under Contract No. 24300059 (“Pence Contract”).</w:t>
      </w:r>
    </w:p>
    <w:p>
      <w:pPr>
        <w:spacing w:after="0" w:line="239" w:lineRule="exact"/>
        <w:rPr>
          <w:sz w:val="24"/>
          <w:szCs w:val="24"/>
          <w:color w:val="auto"/>
        </w:rPr>
      </w:pPr>
    </w:p>
    <w:p>
      <w:pPr>
        <w:ind w:right="60"/>
        <w:spacing w:after="0" w:line="250" w:lineRule="auto"/>
        <w:rPr>
          <w:sz w:val="20"/>
          <w:szCs w:val="20"/>
          <w:color w:val="auto"/>
        </w:rPr>
      </w:pPr>
      <w:r>
        <w:rPr>
          <w:rFonts w:ascii="Times New Roman" w:cs="Times New Roman" w:eastAsia="Times New Roman" w:hAnsi="Times New Roman"/>
          <w:sz w:val="24"/>
          <w:szCs w:val="24"/>
          <w:color w:val="auto"/>
        </w:rPr>
        <w:t>January 16, 2025 (Item 13c) – The Board approved the first amendment for Contract No. 24300067 (“Amendment 1”), which increased the contract amount by $ 84,263.20 during FY 2025 in exchange for Mr. Spence taking on the indigent criminal defense caseload and administrative responsibilities previously assigned under the Pence Contract.</w:t>
      </w:r>
    </w:p>
    <w:p>
      <w:pPr>
        <w:spacing w:after="0" w:line="230" w:lineRule="exact"/>
        <w:rPr>
          <w:sz w:val="24"/>
          <w:szCs w:val="24"/>
          <w:color w:val="auto"/>
        </w:rPr>
      </w:pPr>
    </w:p>
    <w:p>
      <w:pPr>
        <w:ind w:right="140"/>
        <w:spacing w:after="0" w:line="255" w:lineRule="auto"/>
        <w:rPr>
          <w:sz w:val="20"/>
          <w:szCs w:val="20"/>
          <w:color w:val="auto"/>
        </w:rPr>
      </w:pPr>
      <w:r>
        <w:rPr>
          <w:rFonts w:ascii="Times New Roman" w:cs="Times New Roman" w:eastAsia="Times New Roman" w:hAnsi="Times New Roman"/>
          <w:sz w:val="24"/>
          <w:szCs w:val="24"/>
          <w:color w:val="auto"/>
        </w:rPr>
        <w:t>June 15, 2023 (Item 13e) – The Board approved Contract No. 24300067 in the amount of $557,136 for Mr. Spence to provide indigent defense conflict counsel services effective July 1, 2023, through June 30, 2026.</w:t>
      </w:r>
    </w:p>
    <w:p>
      <w:pPr>
        <w:spacing w:after="0" w:line="18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Background/Issues &amp; Analysis</w:t>
      </w:r>
    </w:p>
    <w:p>
      <w:pPr>
        <w:spacing w:after="0" w:line="32" w:lineRule="exact"/>
        <w:rPr>
          <w:sz w:val="24"/>
          <w:szCs w:val="24"/>
          <w:color w:val="auto"/>
        </w:rPr>
      </w:pPr>
    </w:p>
    <w:p>
      <w:pPr>
        <w:ind w:right="40"/>
        <w:spacing w:after="0" w:line="256" w:lineRule="auto"/>
        <w:rPr>
          <w:sz w:val="20"/>
          <w:szCs w:val="20"/>
          <w:color w:val="auto"/>
        </w:rPr>
      </w:pPr>
      <w:r>
        <w:rPr>
          <w:rFonts w:ascii="Times New Roman" w:cs="Times New Roman" w:eastAsia="Times New Roman" w:hAnsi="Times New Roman"/>
          <w:sz w:val="23"/>
          <w:szCs w:val="23"/>
          <w:color w:val="auto"/>
        </w:rPr>
        <w:t>The City established the Carson City Public Defender’s Office to provide indigent representation in lieu of paying the State of Nevada to provide these mandated services. The City has historically contracted with three private attorneys to provide indigent representation when the Public Defender cannot represent indigent offenders due to a conflict of interest. These attorneys are referred to as conflict</w:t>
      </w:r>
    </w:p>
    <w:p>
      <w:pPr>
        <w:sectPr>
          <w:pgSz w:w="12240" w:h="15840" w:orient="portrait"/>
          <w:cols w:equalWidth="0" w:num="1">
            <w:col w:w="10020"/>
          </w:cols>
          <w:pgMar w:left="1080" w:top="831" w:right="1140" w:bottom="678" w:gutter="0" w:footer="0" w:header="0"/>
        </w:sectPr>
      </w:pPr>
    </w:p>
    <w:p>
      <w:pPr>
        <w:spacing w:after="0"/>
        <w:rPr>
          <w:sz w:val="20"/>
          <w:szCs w:val="20"/>
          <w:color w:val="auto"/>
        </w:rPr>
      </w:pPr>
      <w:r>
        <w:rPr>
          <w:rFonts w:ascii="Times New Roman" w:cs="Times New Roman" w:eastAsia="Times New Roman" w:hAnsi="Times New Roman"/>
          <w:sz w:val="24"/>
          <w:szCs w:val="24"/>
          <w:color w:val="auto"/>
        </w:rPr>
        <w:t>counsel.</w:t>
      </w:r>
    </w:p>
    <w:p>
      <w:pPr>
        <w:spacing w:after="0" w:line="276" w:lineRule="exact"/>
        <w:rPr>
          <w:sz w:val="20"/>
          <w:szCs w:val="20"/>
          <w:color w:val="auto"/>
        </w:rPr>
      </w:pPr>
    </w:p>
    <w:p>
      <w:pPr>
        <w:ind w:right="320"/>
        <w:spacing w:after="0" w:line="250" w:lineRule="auto"/>
        <w:rPr>
          <w:sz w:val="20"/>
          <w:szCs w:val="20"/>
          <w:color w:val="auto"/>
        </w:rPr>
      </w:pPr>
      <w:r>
        <w:rPr>
          <w:rFonts w:ascii="Times New Roman" w:cs="Times New Roman" w:eastAsia="Times New Roman" w:hAnsi="Times New Roman"/>
          <w:sz w:val="24"/>
          <w:szCs w:val="24"/>
          <w:color w:val="auto"/>
        </w:rPr>
        <w:t>Conflict counsel attorney Maria Pence abruptly resigned in December 2024. It was imperative to continue providing indigent representation services to Ms. Pence's former clients and to continue the assignment of new court cases that the Carson City Public Defender’s Office was unable to represent due to conflicts of interest.</w:t>
      </w:r>
    </w:p>
    <w:p>
      <w:pPr>
        <w:spacing w:after="0" w:line="230" w:lineRule="exact"/>
        <w:rPr>
          <w:sz w:val="20"/>
          <w:szCs w:val="20"/>
          <w:color w:val="auto"/>
        </w:rPr>
      </w:pPr>
    </w:p>
    <w:p>
      <w:pPr>
        <w:spacing w:after="0" w:line="242" w:lineRule="auto"/>
        <w:rPr>
          <w:sz w:val="20"/>
          <w:szCs w:val="20"/>
          <w:color w:val="auto"/>
        </w:rPr>
      </w:pPr>
      <w:r>
        <w:rPr>
          <w:rFonts w:ascii="Times New Roman" w:cs="Times New Roman" w:eastAsia="Times New Roman" w:hAnsi="Times New Roman"/>
          <w:sz w:val="24"/>
          <w:szCs w:val="24"/>
          <w:color w:val="auto"/>
        </w:rPr>
        <w:t>The conflict counsel contracts encompass both indigent defense services and services for appointed counsel in NRS Chapter 432B cases, involving the protection of children from abuse and neglect ("432B cases"). Mr. Spence, who currently serves as a conflict counsel for Carson City, agreed to accept Ms. Pence’s indigent defense caseload and additional new indigent court cases that would have been assigned to Ms. Pence through June 30, 2025, with the exception of the 432B cases. At the time, Mr. Spence was working with another attorney, Ms. Sarah White, to provide these additional indigent defense services. Essentially, Mr. Spence accepted one full conflict counsel contract and a second conflict counsel contract, omitting the 432B cases, but this was not communicated to Ms. Kai Weaver, who continued to assign 432B cases to Mr. Spence past January 1, 2025. Mr. Spence continued to provide these services through May 31, 2026. The arrangement worked well. Mr. Spence has been the only conflict counsel contracting with Carson City since John Arrascada terminated his contract in January of 2026. When additional conflict attorneys are needed, the cases are assigned through the Department of Indigent Defense (DIDS). Unfortunately, there are very few local attorneys available for assignment. DIDS often assigns attorneys from Southern Nevada, who commonly request Zoom court appearances.</w:t>
      </w:r>
    </w:p>
    <w:p>
      <w:pPr>
        <w:spacing w:after="0" w:line="242" w:lineRule="exact"/>
        <w:rPr>
          <w:sz w:val="20"/>
          <w:szCs w:val="20"/>
          <w:color w:val="auto"/>
        </w:rPr>
      </w:pPr>
    </w:p>
    <w:p>
      <w:pPr>
        <w:ind w:right="100"/>
        <w:spacing w:after="0" w:line="250" w:lineRule="auto"/>
        <w:rPr>
          <w:sz w:val="20"/>
          <w:szCs w:val="20"/>
          <w:color w:val="auto"/>
        </w:rPr>
      </w:pPr>
      <w:r>
        <w:rPr>
          <w:rFonts w:ascii="Times New Roman" w:cs="Times New Roman" w:eastAsia="Times New Roman" w:hAnsi="Times New Roman"/>
          <w:sz w:val="24"/>
          <w:szCs w:val="24"/>
          <w:color w:val="auto"/>
        </w:rPr>
        <w:t>From January 1, 2025, through May 31, 2026, Mr. Spence has provided 432B representation totaling $53,625.23, exceeding the contracted amount, for additional cases assigned to him by Ms. Kai Weaver. The amount of $53,625.23 is 20% of the remaining balance from Maria Pence’s contract (January 1, 2025, to May 31, 2026). See attached letter from Ms. Kai Weaver.</w:t>
      </w:r>
    </w:p>
    <w:p>
      <w:pPr>
        <w:spacing w:after="0" w:line="188" w:lineRule="exact"/>
        <w:rPr>
          <w:sz w:val="20"/>
          <w:szCs w:val="20"/>
          <w:color w:val="auto"/>
        </w:rPr>
      </w:pPr>
    </w:p>
    <w:p>
      <w:pPr>
        <w:ind w:right="4660"/>
        <w:spacing w:after="0" w:line="276" w:lineRule="auto"/>
        <w:rPr>
          <w:sz w:val="20"/>
          <w:szCs w:val="20"/>
          <w:color w:val="auto"/>
        </w:rPr>
      </w:pPr>
      <w:r>
        <w:rPr>
          <w:rFonts w:ascii="Times New Roman" w:cs="Times New Roman" w:eastAsia="Times New Roman" w:hAnsi="Times New Roman"/>
          <w:sz w:val="24"/>
          <w:szCs w:val="24"/>
          <w:b w:val="1"/>
          <w:bCs w:val="1"/>
          <w:u w:val="single" w:color="auto"/>
          <w:color w:val="auto"/>
        </w:rPr>
        <w:t xml:space="preserve">Applicable Statute, Code, Policy, Rule or Regulation </w:t>
      </w:r>
      <w:r>
        <w:rPr>
          <w:rFonts w:ascii="Times New Roman" w:cs="Times New Roman" w:eastAsia="Times New Roman" w:hAnsi="Times New Roman"/>
          <w:sz w:val="24"/>
          <w:szCs w:val="24"/>
          <w:color w:val="auto"/>
        </w:rPr>
        <w:t>NRS 332.115</w:t>
      </w:r>
    </w:p>
    <w:p>
      <w:pPr>
        <w:spacing w:after="0" w:line="15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Financial Information</w:t>
      </w:r>
    </w:p>
    <w:p>
      <w:pPr>
        <w:spacing w:after="0" w:line="32" w:lineRule="exact"/>
        <w:rPr>
          <w:sz w:val="20"/>
          <w:szCs w:val="20"/>
          <w:color w:val="auto"/>
        </w:rPr>
      </w:pPr>
    </w:p>
    <w:p>
      <w:pPr>
        <w:spacing w:after="0"/>
        <w:tabs>
          <w:tab w:leader="none" w:pos="2660" w:val="left"/>
        </w:tabs>
        <w:rPr>
          <w:sz w:val="20"/>
          <w:szCs w:val="20"/>
          <w:color w:val="auto"/>
        </w:rPr>
      </w:pPr>
      <w:r>
        <w:rPr>
          <w:rFonts w:ascii="Times New Roman" w:cs="Times New Roman" w:eastAsia="Times New Roman" w:hAnsi="Times New Roman"/>
          <w:sz w:val="24"/>
          <w:szCs w:val="24"/>
          <w:b w:val="1"/>
          <w:bCs w:val="1"/>
          <w:color w:val="auto"/>
        </w:rPr>
        <w:t>Is there a fiscal impact?</w:t>
      </w:r>
      <w:r>
        <w:rPr>
          <w:sz w:val="20"/>
          <w:szCs w:val="20"/>
          <w:color w:val="auto"/>
        </w:rPr>
        <w:tab/>
      </w:r>
      <w:r>
        <w:rPr>
          <w:rFonts w:ascii="Times New Roman" w:cs="Times New Roman" w:eastAsia="Times New Roman" w:hAnsi="Times New Roman"/>
          <w:sz w:val="23"/>
          <w:szCs w:val="23"/>
          <w:color w:val="auto"/>
        </w:rPr>
        <w:t>Yes</w:t>
      </w:r>
    </w:p>
    <w:p>
      <w:pPr>
        <w:spacing w:after="0" w:line="208" w:lineRule="exact"/>
        <w:rPr>
          <w:sz w:val="20"/>
          <w:szCs w:val="20"/>
          <w:color w:val="auto"/>
        </w:rPr>
      </w:pPr>
    </w:p>
    <w:p>
      <w:pPr>
        <w:ind w:right="160"/>
        <w:spacing w:after="0" w:line="276" w:lineRule="auto"/>
        <w:rPr>
          <w:sz w:val="20"/>
          <w:szCs w:val="20"/>
          <w:color w:val="auto"/>
        </w:rPr>
      </w:pPr>
      <w:r>
        <w:rPr>
          <w:rFonts w:ascii="Times New Roman" w:cs="Times New Roman" w:eastAsia="Times New Roman" w:hAnsi="Times New Roman"/>
          <w:sz w:val="24"/>
          <w:szCs w:val="24"/>
          <w:b w:val="1"/>
          <w:bCs w:val="1"/>
          <w:color w:val="auto"/>
        </w:rPr>
        <w:t>If yes, account name/number:</w:t>
      </w:r>
      <w:r>
        <w:rPr>
          <w:rFonts w:ascii="Times New Roman" w:cs="Times New Roman" w:eastAsia="Times New Roman" w:hAnsi="Times New Roman"/>
          <w:sz w:val="24"/>
          <w:szCs w:val="24"/>
          <w:color w:val="auto"/>
        </w:rPr>
        <w:t xml:space="preserve"> General Fund, Department of Indigent Defense Department, Conflict Counsel Account - 1010611-500361</w:t>
      </w:r>
    </w:p>
    <w:p>
      <w:pPr>
        <w:spacing w:after="0" w:line="15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Is it currently budgeted?</w:t>
      </w:r>
      <w:r>
        <w:rPr>
          <w:rFonts w:ascii="Times New Roman" w:cs="Times New Roman" w:eastAsia="Times New Roman" w:hAnsi="Times New Roman"/>
          <w:sz w:val="24"/>
          <w:szCs w:val="24"/>
          <w:color w:val="auto"/>
        </w:rPr>
        <w:t xml:space="preserve">  Yes</w:t>
      </w:r>
    </w:p>
    <w:p>
      <w:pPr>
        <w:spacing w:after="0" w:line="240" w:lineRule="exact"/>
        <w:rPr>
          <w:sz w:val="20"/>
          <w:szCs w:val="20"/>
          <w:color w:val="auto"/>
        </w:rPr>
      </w:pPr>
    </w:p>
    <w:p>
      <w:pPr>
        <w:ind w:right="120"/>
        <w:spacing w:after="0" w:line="274" w:lineRule="auto"/>
        <w:rPr>
          <w:sz w:val="20"/>
          <w:szCs w:val="20"/>
          <w:color w:val="auto"/>
        </w:rPr>
      </w:pPr>
      <w:r>
        <w:rPr>
          <w:rFonts w:ascii="Times New Roman" w:cs="Times New Roman" w:eastAsia="Times New Roman" w:hAnsi="Times New Roman"/>
          <w:sz w:val="23"/>
          <w:szCs w:val="23"/>
          <w:b w:val="1"/>
          <w:bCs w:val="1"/>
          <w:color w:val="auto"/>
        </w:rPr>
        <w:t>Explanation of Fiscal Impact:</w:t>
      </w:r>
      <w:r>
        <w:rPr>
          <w:rFonts w:ascii="Times New Roman" w:cs="Times New Roman" w:eastAsia="Times New Roman" w:hAnsi="Times New Roman"/>
          <w:sz w:val="23"/>
          <w:szCs w:val="23"/>
          <w:color w:val="auto"/>
        </w:rPr>
        <w:t xml:space="preserve"> If approved, additional budget appropriation will not be necessary because the additional $53,625.23 for the proposed amendment will be covered by the funds remaining from Mr. Arrascada’s contract of $191,228. Total Conflict Counsel budget is $550,000 for FY 2026.</w:t>
      </w:r>
    </w:p>
    <w:p>
      <w:pPr>
        <w:spacing w:after="0" w:line="16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Alternatives</w:t>
      </w:r>
    </w:p>
    <w:p>
      <w:pPr>
        <w:spacing w:after="0" w:line="3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Do not approve the amendment and/or provide alternative direction to staff.</w:t>
      </w:r>
    </w:p>
    <w:p>
      <w:pPr>
        <w:spacing w:after="0" w:line="20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Attachment(s):</w:t>
      </w:r>
    </w:p>
    <w:p>
      <w:pPr>
        <w:spacing w:after="0" w:line="32" w:lineRule="exact"/>
        <w:rPr>
          <w:sz w:val="20"/>
          <w:szCs w:val="20"/>
          <w:color w:val="auto"/>
        </w:rPr>
      </w:pPr>
    </w:p>
    <w:p>
      <w:pPr>
        <w:spacing w:after="0"/>
        <w:rPr>
          <w:rFonts w:ascii="Times New Roman" w:cs="Times New Roman" w:eastAsia="Times New Roman" w:hAnsi="Times New Roman"/>
          <w:sz w:val="24"/>
          <w:szCs w:val="24"/>
          <w:color w:val="0000EE"/>
        </w:rPr>
      </w:pPr>
      <w:hyperlink r:id="rId14">
        <w:r>
          <w:rPr>
            <w:rFonts w:ascii="Times New Roman" w:cs="Times New Roman" w:eastAsia="Times New Roman" w:hAnsi="Times New Roman"/>
            <w:sz w:val="24"/>
            <w:szCs w:val="24"/>
            <w:color w:val="0000EE"/>
          </w:rPr>
          <w:t>24300067_DRAFT_Amendment_3.pdf</w:t>
        </w:r>
      </w:hyperlink>
    </w:p>
    <w:p>
      <w:pPr>
        <w:spacing w:after="0" w:line="250" w:lineRule="exact"/>
        <w:rPr>
          <w:sz w:val="20"/>
          <w:szCs w:val="20"/>
          <w:color w:val="auto"/>
        </w:rPr>
      </w:pPr>
    </w:p>
    <w:p>
      <w:pPr>
        <w:spacing w:after="0"/>
        <w:rPr>
          <w:rFonts w:ascii="Times New Roman" w:cs="Times New Roman" w:eastAsia="Times New Roman" w:hAnsi="Times New Roman"/>
          <w:sz w:val="24"/>
          <w:szCs w:val="24"/>
          <w:color w:val="0000EE"/>
        </w:rPr>
      </w:pPr>
      <w:hyperlink r:id="rId15">
        <w:r>
          <w:rPr>
            <w:rFonts w:ascii="Times New Roman" w:cs="Times New Roman" w:eastAsia="Times New Roman" w:hAnsi="Times New Roman"/>
            <w:sz w:val="24"/>
            <w:szCs w:val="24"/>
            <w:color w:val="0000EE"/>
          </w:rPr>
          <w:t>LetterfromKaiWeaver.pdf</w:t>
        </w:r>
      </w:hyperlink>
    </w:p>
    <w:p>
      <w:pPr>
        <w:sectPr>
          <w:pgSz w:w="12240" w:h="15840" w:orient="portrait"/>
          <w:cols w:equalWidth="0" w:num="1">
            <w:col w:w="10020"/>
          </w:cols>
          <w:pgMar w:left="1080" w:top="831" w:right="1140" w:bottom="896" w:gutter="0" w:footer="0" w:header="0"/>
        </w:sectPr>
      </w:pPr>
    </w:p>
    <w:p>
      <w:pPr>
        <w:spacing w:after="0"/>
        <w:rPr>
          <w:rFonts w:ascii="Times New Roman" w:cs="Times New Roman" w:eastAsia="Times New Roman" w:hAnsi="Times New Roman"/>
          <w:sz w:val="24"/>
          <w:szCs w:val="24"/>
          <w:color w:val="0000EE"/>
        </w:rPr>
      </w:pPr>
      <w:hyperlink r:id="rId16">
        <w:r>
          <w:rPr>
            <w:rFonts w:ascii="Times New Roman" w:cs="Times New Roman" w:eastAsia="Times New Roman" w:hAnsi="Times New Roman"/>
            <w:sz w:val="24"/>
            <w:szCs w:val="24"/>
            <w:color w:val="0000EE"/>
          </w:rPr>
          <w:t>DSpence_432B_Cases_Increase.pdf</w:t>
        </w:r>
      </w:hyperlink>
    </w:p>
    <w:p>
      <w:pPr>
        <w:spacing w:after="0" w:line="276" w:lineRule="exact"/>
        <w:rPr>
          <w:sz w:val="20"/>
          <w:szCs w:val="20"/>
          <w:color w:val="auto"/>
        </w:rPr>
      </w:pPr>
    </w:p>
    <w:p>
      <w:pPr>
        <w:spacing w:after="0"/>
        <w:rPr>
          <w:rFonts w:ascii="Times New Roman" w:cs="Times New Roman" w:eastAsia="Times New Roman" w:hAnsi="Times New Roman"/>
          <w:sz w:val="24"/>
          <w:szCs w:val="24"/>
          <w:color w:val="0000EE"/>
        </w:rPr>
      </w:pPr>
      <w:hyperlink r:id="rId17">
        <w:r>
          <w:rPr>
            <w:rFonts w:ascii="Times New Roman" w:cs="Times New Roman" w:eastAsia="Times New Roman" w:hAnsi="Times New Roman"/>
            <w:sz w:val="24"/>
            <w:szCs w:val="24"/>
            <w:color w:val="0000EE"/>
          </w:rPr>
          <w:t>24300067 Executed Amendment 2.pdf</w:t>
        </w:r>
      </w:hyperlink>
    </w:p>
    <w:p>
      <w:pPr>
        <w:spacing w:after="0" w:line="276" w:lineRule="exact"/>
        <w:rPr>
          <w:sz w:val="20"/>
          <w:szCs w:val="20"/>
          <w:color w:val="auto"/>
        </w:rPr>
      </w:pPr>
    </w:p>
    <w:p>
      <w:pPr>
        <w:spacing w:after="0"/>
        <w:rPr>
          <w:rFonts w:ascii="Times New Roman" w:cs="Times New Roman" w:eastAsia="Times New Roman" w:hAnsi="Times New Roman"/>
          <w:sz w:val="24"/>
          <w:szCs w:val="24"/>
          <w:color w:val="0000EE"/>
        </w:rPr>
      </w:pPr>
      <w:hyperlink r:id="rId18">
        <w:r>
          <w:rPr>
            <w:rFonts w:ascii="Times New Roman" w:cs="Times New Roman" w:eastAsia="Times New Roman" w:hAnsi="Times New Roman"/>
            <w:sz w:val="24"/>
            <w:szCs w:val="24"/>
            <w:color w:val="0000EE"/>
          </w:rPr>
          <w:t>24300067 Executed Amendment 1.pdf</w:t>
        </w:r>
      </w:hyperlink>
    </w:p>
    <w:p>
      <w:pPr>
        <w:spacing w:after="0" w:line="276" w:lineRule="exact"/>
        <w:rPr>
          <w:sz w:val="20"/>
          <w:szCs w:val="20"/>
          <w:color w:val="auto"/>
        </w:rPr>
      </w:pPr>
    </w:p>
    <w:p>
      <w:pPr>
        <w:spacing w:after="0"/>
        <w:rPr>
          <w:rFonts w:ascii="Times New Roman" w:cs="Times New Roman" w:eastAsia="Times New Roman" w:hAnsi="Times New Roman"/>
          <w:sz w:val="24"/>
          <w:szCs w:val="24"/>
          <w:color w:val="0000EE"/>
        </w:rPr>
      </w:pPr>
      <w:hyperlink r:id="rId19">
        <w:r>
          <w:rPr>
            <w:rFonts w:ascii="Times New Roman" w:cs="Times New Roman" w:eastAsia="Times New Roman" w:hAnsi="Times New Roman"/>
            <w:sz w:val="24"/>
            <w:szCs w:val="24"/>
            <w:color w:val="0000EE"/>
          </w:rPr>
          <w:t>24300067 Executed Contract.pdf</w:t>
        </w:r>
      </w:hyperlink>
    </w:p>
    <w:p>
      <w:pPr>
        <w:spacing w:after="0" w:line="200" w:lineRule="exact"/>
        <w:rPr>
          <w:sz w:val="20"/>
          <w:szCs w:val="20"/>
          <w:color w:val="auto"/>
        </w:rPr>
      </w:pPr>
    </w:p>
    <w:p>
      <w:pPr>
        <w:spacing w:after="0" w:line="316" w:lineRule="exact"/>
        <w:rPr>
          <w:sz w:val="20"/>
          <w:szCs w:val="20"/>
          <w:color w:val="auto"/>
        </w:rPr>
      </w:pPr>
    </w:p>
    <w:tbl>
      <w:tblPr>
        <w:tblLayout w:type="fixed"/>
        <w:tblInd w:w="0" w:type="dxa"/>
        <w:tblCellMar>
          <w:top w:w="0" w:type="dxa"/>
          <w:left w:w="0" w:type="dxa"/>
          <w:bottom w:w="0" w:type="dxa"/>
          <w:right w:w="0" w:type="dxa"/>
        </w:tblCellMar>
      </w:tblPr>
      <w:tr>
        <w:trPr>
          <w:trHeight w:val="276"/>
        </w:trPr>
        <w:tc>
          <w:tcPr>
            <w:tcW w:w="3820" w:type="dxa"/>
            <w:vAlign w:val="bottom"/>
          </w:tcPr>
          <w:p>
            <w:pPr>
              <w:spacing w:after="0"/>
              <w:rPr>
                <w:sz w:val="20"/>
                <w:szCs w:val="20"/>
                <w:color w:val="auto"/>
              </w:rPr>
            </w:pPr>
            <w:r>
              <w:rPr>
                <w:rFonts w:ascii="Times New Roman" w:cs="Times New Roman" w:eastAsia="Times New Roman" w:hAnsi="Times New Roman"/>
                <w:sz w:val="24"/>
                <w:szCs w:val="24"/>
                <w:color w:val="auto"/>
              </w:rPr>
              <w:t>Motion: _________________</w:t>
            </w: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1)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rPr>
              <w:t>Aye/Nay</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2)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312"/>
        </w:trPr>
        <w:tc>
          <w:tcPr>
            <w:tcW w:w="3820" w:type="dxa"/>
            <w:vAlign w:val="bottom"/>
            <w:vMerge w:val="restart"/>
          </w:tcPr>
          <w:p>
            <w:pPr>
              <w:jc w:val="right"/>
              <w:spacing w:after="0"/>
              <w:rPr>
                <w:sz w:val="20"/>
                <w:szCs w:val="20"/>
                <w:color w:val="auto"/>
              </w:rPr>
            </w:pPr>
            <w:r>
              <w:rPr>
                <w:rFonts w:ascii="Times New Roman" w:cs="Times New Roman" w:eastAsia="Times New Roman" w:hAnsi="Times New Roman"/>
                <w:sz w:val="24"/>
                <w:szCs w:val="24"/>
                <w:color w:val="auto"/>
              </w:rPr>
              <w:t>_____________________________</w:t>
            </w: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40"/>
        </w:trPr>
        <w:tc>
          <w:tcPr>
            <w:tcW w:w="3820" w:type="dxa"/>
            <w:vAlign w:val="bottom"/>
            <w:vMerge w:val="continue"/>
          </w:tcPr>
          <w:p>
            <w:pPr>
              <w:spacing w:after="0"/>
              <w:rPr>
                <w:sz w:val="20"/>
                <w:szCs w:val="20"/>
                <w:color w:val="auto"/>
              </w:rPr>
            </w:pPr>
          </w:p>
        </w:tc>
        <w:tc>
          <w:tcPr>
            <w:tcW w:w="2720" w:type="dxa"/>
            <w:vAlign w:val="bottom"/>
          </w:tcPr>
          <w:p>
            <w:pPr>
              <w:spacing w:after="0"/>
              <w:rPr>
                <w:sz w:val="20"/>
                <w:szCs w:val="20"/>
                <w:color w:val="auto"/>
              </w:rPr>
            </w:pPr>
          </w:p>
        </w:tc>
        <w:tc>
          <w:tcPr>
            <w:tcW w:w="1680" w:type="dxa"/>
            <w:vAlign w:val="bottom"/>
          </w:tcPr>
          <w:p>
            <w:pPr>
              <w:spacing w:after="0"/>
              <w:rPr>
                <w:sz w:val="20"/>
                <w:szCs w:val="20"/>
                <w:color w:val="auto"/>
              </w:rPr>
            </w:pPr>
          </w:p>
        </w:tc>
        <w:tc>
          <w:tcPr>
            <w:tcW w:w="0" w:type="dxa"/>
            <w:vAlign w:val="bottom"/>
          </w:tcPr>
          <w:p>
            <w:pPr>
              <w:spacing w:after="0"/>
              <w:rPr>
                <w:sz w:val="1"/>
                <w:szCs w:val="1"/>
                <w:color w:val="auto"/>
              </w:rPr>
            </w:pPr>
          </w:p>
        </w:tc>
      </w:tr>
      <w:tr>
        <w:trPr>
          <w:trHeight w:val="312"/>
        </w:trPr>
        <w:tc>
          <w:tcPr>
            <w:tcW w:w="3820" w:type="dxa"/>
            <w:vAlign w:val="bottom"/>
          </w:tcPr>
          <w:p>
            <w:pPr>
              <w:jc w:val="center"/>
              <w:ind w:left="60"/>
              <w:spacing w:after="0"/>
              <w:rPr>
                <w:sz w:val="20"/>
                <w:szCs w:val="20"/>
                <w:color w:val="auto"/>
              </w:rPr>
            </w:pPr>
            <w:r>
              <w:rPr>
                <w:rFonts w:ascii="Times New Roman" w:cs="Times New Roman" w:eastAsia="Times New Roman" w:hAnsi="Times New Roman"/>
                <w:sz w:val="24"/>
                <w:szCs w:val="24"/>
                <w:color w:val="auto"/>
              </w:rPr>
              <w:t>(Vote Recorded By)</w:t>
            </w:r>
          </w:p>
        </w:tc>
        <w:tc>
          <w:tcPr>
            <w:tcW w:w="2720" w:type="dxa"/>
            <w:vAlign w:val="bottom"/>
          </w:tcPr>
          <w:p>
            <w:pPr>
              <w:spacing w:after="0"/>
              <w:rPr>
                <w:sz w:val="24"/>
                <w:szCs w:val="24"/>
                <w:color w:val="auto"/>
              </w:rPr>
            </w:pPr>
          </w:p>
        </w:tc>
        <w:tc>
          <w:tcPr>
            <w:tcW w:w="1680" w:type="dxa"/>
            <w:vAlign w:val="bottom"/>
          </w:tcPr>
          <w:p>
            <w:pPr>
              <w:spacing w:after="0"/>
              <w:rPr>
                <w:sz w:val="24"/>
                <w:szCs w:val="24"/>
                <w:color w:val="auto"/>
              </w:rPr>
            </w:pPr>
          </w:p>
        </w:tc>
        <w:tc>
          <w:tcPr>
            <w:tcW w:w="0" w:type="dxa"/>
            <w:vAlign w:val="bottom"/>
          </w:tcPr>
          <w:p>
            <w:pPr>
              <w:spacing w:after="0"/>
              <w:rPr>
                <w:sz w:val="1"/>
                <w:szCs w:val="1"/>
                <w:color w:val="auto"/>
              </w:rPr>
            </w:pPr>
          </w:p>
        </w:tc>
      </w:tr>
    </w:tbl>
    <w:p>
      <w:pPr>
        <w:spacing w:after="0" w:line="1" w:lineRule="exact"/>
        <w:rPr>
          <w:sz w:val="20"/>
          <w:szCs w:val="20"/>
          <w:color w:val="auto"/>
        </w:rPr>
      </w:pPr>
    </w:p>
    <w:sectPr>
      <w:pgSz w:w="12240" w:h="15840" w:orient="portrait"/>
      <w:cols w:equalWidth="0" w:num="1">
        <w:col w:w="9720"/>
      </w:cols>
      <w:pgMar w:left="1080" w:top="1107" w:right="144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hyperlink" Target="https://carsoncity.granicus.com/services/legistar/download/pdf/4201530/24300067_DRAFT_Amendment_3.pdf" TargetMode="External"/><Relationship Id="rId15" Type="http://schemas.openxmlformats.org/officeDocument/2006/relationships/hyperlink" Target="https://carsoncity.granicus.com/services/legistar/download/pdf/4164979/LetterfromKaiWeaver.pdf" TargetMode="External"/><Relationship Id="rId16" Type="http://schemas.openxmlformats.org/officeDocument/2006/relationships/hyperlink" Target="https://carsoncity.granicus.com/services/legistar/download/pdf/4203059/DSpence_432B_Cases_Increase.pdf" TargetMode="External"/><Relationship Id="rId17" Type="http://schemas.openxmlformats.org/officeDocument/2006/relationships/hyperlink" Target="https://carsoncity.granicus.com/services/legistar/download/pdf/4164963/24300067_Executed_Amendment_2.pdf" TargetMode="External"/><Relationship Id="rId18" Type="http://schemas.openxmlformats.org/officeDocument/2006/relationships/hyperlink" Target="https://carsoncity.granicus.com/services/legistar/download/pdf/4164961/24300067_Executed_Amendment_1.pdf" TargetMode="External"/><Relationship Id="rId19" Type="http://schemas.openxmlformats.org/officeDocument/2006/relationships/hyperlink" Target="https://carsoncity.granicus.com/services/legistar/download/pdf/4164960/24300067_Executed_Contract.pdf"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2026-06-25T19:56:23Z</dcterms:created>
  <dcterms:modified xsi:type="dcterms:W3CDTF">2026-06-25T19:56:23Z</dcterms:modified>
</cp:coreProperties>
</file>