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ind w:left="7940"/>
        <w:spacing w:after="0"/>
        <w:rPr>
          <w:sz w:val="20"/>
          <w:szCs w:val="20"/>
          <w:color w:val="auto"/>
        </w:rPr>
      </w:pPr>
      <w:r>
        <w:rPr>
          <w:rFonts w:ascii="Times New Roman" w:cs="Times New Roman" w:eastAsia="Times New Roman" w:hAnsi="Times New Roman"/>
          <w:sz w:val="23"/>
          <w:szCs w:val="23"/>
          <w:color w:val="auto"/>
        </w:rPr>
        <w:t>Agenda Item No: 5.D</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22225</wp:posOffset>
            </wp:positionV>
            <wp:extent cx="1234440" cy="9220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1234440" cy="922020"/>
                    </a:xfrm>
                    <a:prstGeom prst="rect">
                      <a:avLst/>
                    </a:prstGeom>
                    <a:noFill/>
                  </pic:spPr>
                </pic:pic>
              </a:graphicData>
            </a:graphic>
          </wp:anchor>
        </w:drawing>
      </w:r>
    </w:p>
    <w:p>
      <w:pPr>
        <w:spacing w:after="0" w:line="200" w:lineRule="exact"/>
        <w:rPr>
          <w:sz w:val="24"/>
          <w:szCs w:val="24"/>
          <w:color w:val="auto"/>
        </w:rPr>
      </w:pPr>
    </w:p>
    <w:p>
      <w:pPr>
        <w:spacing w:after="0" w:line="323" w:lineRule="exact"/>
        <w:rPr>
          <w:sz w:val="24"/>
          <w:szCs w:val="24"/>
          <w:color w:val="auto"/>
        </w:rPr>
      </w:pPr>
    </w:p>
    <w:p>
      <w:pPr>
        <w:ind w:left="2200"/>
        <w:spacing w:after="0"/>
        <w:rPr>
          <w:sz w:val="20"/>
          <w:szCs w:val="20"/>
          <w:color w:val="auto"/>
        </w:rPr>
      </w:pPr>
      <w:r>
        <w:rPr>
          <w:rFonts w:ascii="Times New Roman" w:cs="Times New Roman" w:eastAsia="Times New Roman" w:hAnsi="Times New Roman"/>
          <w:sz w:val="36"/>
          <w:szCs w:val="36"/>
          <w:b w:val="1"/>
          <w:bCs w:val="1"/>
          <w:color w:val="auto"/>
        </w:rPr>
        <w:t>STAFF REPORT</w:t>
      </w:r>
    </w:p>
    <w:p>
      <w:pPr>
        <w:sectPr>
          <w:pgSz w:w="12240" w:h="15840" w:orient="portrait"/>
          <w:cols w:equalWidth="0" w:num="1">
            <w:col w:w="10020"/>
          </w:cols>
          <w:pgMar w:left="1080" w:top="831" w:right="1140" w:bottom="897"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341" w:lineRule="exact"/>
        <w:rPr>
          <w:sz w:val="24"/>
          <w:szCs w:val="24"/>
          <w:color w:val="auto"/>
        </w:rPr>
      </w:pPr>
    </w:p>
    <w:p>
      <w:pPr>
        <w:spacing w:after="0"/>
        <w:rPr>
          <w:sz w:val="20"/>
          <w:szCs w:val="20"/>
          <w:color w:val="auto"/>
        </w:rPr>
      </w:pPr>
      <w:r>
        <w:rPr>
          <w:rFonts w:ascii="Times New Roman" w:cs="Times New Roman" w:eastAsia="Times New Roman" w:hAnsi="Times New Roman"/>
          <w:sz w:val="23"/>
          <w:szCs w:val="23"/>
          <w:b w:val="1"/>
          <w:bCs w:val="1"/>
          <w:color w:val="auto"/>
        </w:rPr>
        <w:t>Report To:</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Regional Transportation</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Meeting Date:</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spacing w:after="0"/>
        <w:rPr>
          <w:sz w:val="20"/>
          <w:szCs w:val="20"/>
          <w:color w:val="auto"/>
        </w:rPr>
      </w:pPr>
      <w:r>
        <w:rPr>
          <w:rFonts w:ascii="Times New Roman" w:cs="Times New Roman" w:eastAsia="Times New Roman" w:hAnsi="Times New Roman"/>
          <w:sz w:val="23"/>
          <w:szCs w:val="23"/>
          <w:color w:val="auto"/>
        </w:rPr>
        <w:t>April 8, 2026</w:t>
      </w:r>
    </w:p>
    <w:p>
      <w:pPr>
        <w:spacing w:after="0" w:line="47" w:lineRule="exact"/>
        <w:rPr>
          <w:sz w:val="24"/>
          <w:szCs w:val="24"/>
          <w:color w:val="auto"/>
        </w:rPr>
      </w:pPr>
    </w:p>
    <w:p>
      <w:pPr>
        <w:sectPr>
          <w:pgSz w:w="12240" w:h="15840" w:orient="portrait"/>
          <w:cols w:equalWidth="0" w:num="4">
            <w:col w:w="1480" w:space="720"/>
            <w:col w:w="2340" w:space="460"/>
            <w:col w:w="1460" w:space="540"/>
            <w:col w:w="3020"/>
          </w:cols>
          <w:pgMar w:left="1080" w:top="831" w:right="1140" w:bottom="897" w:gutter="0" w:footer="0" w:header="0"/>
          <w:type w:val="continuous"/>
        </w:sectPr>
      </w:pPr>
    </w:p>
    <w:p>
      <w:pPr>
        <w:ind w:left="2200"/>
        <w:spacing w:after="0"/>
        <w:rPr>
          <w:sz w:val="20"/>
          <w:szCs w:val="20"/>
          <w:color w:val="auto"/>
        </w:rPr>
      </w:pPr>
      <w:r>
        <w:rPr>
          <w:rFonts w:ascii="Times New Roman" w:cs="Times New Roman" w:eastAsia="Times New Roman" w:hAnsi="Times New Roman"/>
          <w:sz w:val="23"/>
          <w:szCs w:val="23"/>
          <w:color w:val="auto"/>
        </w:rPr>
        <w:t>Commission</w:t>
      </w:r>
    </w:p>
    <w:p>
      <w:pPr>
        <w:sectPr>
          <w:pgSz w:w="12240" w:h="15840" w:orient="portrait"/>
          <w:cols w:equalWidth="0" w:num="1">
            <w:col w:w="10020"/>
          </w:cols>
          <w:pgMar w:left="1080" w:top="831" w:right="1140" w:bottom="897" w:gutter="0" w:footer="0" w:header="0"/>
          <w:type w:val="continuous"/>
        </w:sectPr>
      </w:pPr>
    </w:p>
    <w:p>
      <w:pPr>
        <w:spacing w:after="0" w:line="210" w:lineRule="exact"/>
        <w:rPr>
          <w:sz w:val="24"/>
          <w:szCs w:val="24"/>
          <w:color w:val="auto"/>
        </w:rPr>
      </w:pPr>
    </w:p>
    <w:p>
      <w:pPr>
        <w:spacing w:after="0"/>
        <w:tabs>
          <w:tab w:leader="none" w:pos="2180" w:val="left"/>
        </w:tabs>
        <w:rPr>
          <w:sz w:val="20"/>
          <w:szCs w:val="20"/>
          <w:color w:val="auto"/>
        </w:rPr>
      </w:pPr>
      <w:r>
        <w:rPr>
          <w:rFonts w:ascii="Times New Roman" w:cs="Times New Roman" w:eastAsia="Times New Roman" w:hAnsi="Times New Roman"/>
          <w:sz w:val="24"/>
          <w:szCs w:val="24"/>
          <w:b w:val="1"/>
          <w:bCs w:val="1"/>
          <w:color w:val="auto"/>
        </w:rPr>
        <w:t>Staff Contact:</w:t>
      </w:r>
      <w:r>
        <w:rPr>
          <w:sz w:val="20"/>
          <w:szCs w:val="20"/>
          <w:color w:val="auto"/>
        </w:rPr>
        <w:tab/>
      </w:r>
      <w:r>
        <w:rPr>
          <w:rFonts w:ascii="Times New Roman" w:cs="Times New Roman" w:eastAsia="Times New Roman" w:hAnsi="Times New Roman"/>
          <w:sz w:val="23"/>
          <w:szCs w:val="23"/>
          <w:color w:val="auto"/>
        </w:rPr>
        <w:t>Darren Schulz, Public Works Director</w:t>
      </w:r>
    </w:p>
    <w:p>
      <w:pPr>
        <w:spacing w:after="0" w:line="240" w:lineRule="exact"/>
        <w:rPr>
          <w:sz w:val="24"/>
          <w:szCs w:val="24"/>
          <w:color w:val="auto"/>
        </w:rPr>
      </w:pPr>
    </w:p>
    <w:p>
      <w:pPr>
        <w:jc w:val="both"/>
        <w:ind w:left="2200" w:right="20" w:hanging="2195"/>
        <w:spacing w:after="0" w:line="243" w:lineRule="auto"/>
        <w:tabs>
          <w:tab w:leader="none" w:pos="2180" w:val="left"/>
        </w:tabs>
        <w:rPr>
          <w:sz w:val="20"/>
          <w:szCs w:val="20"/>
          <w:color w:val="auto"/>
        </w:rPr>
      </w:pPr>
      <w:r>
        <w:rPr>
          <w:rFonts w:ascii="Times New Roman" w:cs="Times New Roman" w:eastAsia="Times New Roman" w:hAnsi="Times New Roman"/>
          <w:sz w:val="24"/>
          <w:szCs w:val="24"/>
          <w:b w:val="1"/>
          <w:bCs w:val="1"/>
          <w:color w:val="auto"/>
        </w:rPr>
        <w:t>Agenda Title:</w:t>
      </w:r>
      <w:r>
        <w:rPr>
          <w:sz w:val="20"/>
          <w:szCs w:val="20"/>
          <w:color w:val="auto"/>
        </w:rPr>
        <w:tab/>
      </w:r>
      <w:r>
        <w:rPr>
          <w:rFonts w:ascii="Times New Roman" w:cs="Times New Roman" w:eastAsia="Times New Roman" w:hAnsi="Times New Roman"/>
          <w:sz w:val="24"/>
          <w:szCs w:val="24"/>
          <w:color w:val="auto"/>
        </w:rPr>
        <w:t>For Possible Action – Discussion and possible action regarding (1) Highway Agreement No. PR007-26-063 (“Agreement”) for the Nevada Department of Transportation (“NDOT”) to partially fund the construction of the District 3 Fairview Drive Preservation Project (“Project”) through $906,342 in Highway Safety Improvement Program (“HSIP”) funds and $901,100 in Surface Transportation Block Grant (“STBG”) funds, plus a 5 percent local match of $95,129, for a total Agreement amount of $1,902,571; and (2) authorization for the Transportation Manager to execute the Agreement as well as any future amendments to the Agreement regarding extensions of time or changes in funding that do not increase the total amount by more than 10 percent. (Casey Sylvester, Transportation/Traffic Engineer)</w:t>
      </w:r>
    </w:p>
    <w:p>
      <w:pPr>
        <w:spacing w:after="0" w:line="202" w:lineRule="exact"/>
        <w:rPr>
          <w:sz w:val="24"/>
          <w:szCs w:val="24"/>
          <w:color w:val="auto"/>
        </w:rPr>
      </w:pPr>
    </w:p>
    <w:p>
      <w:pPr>
        <w:spacing w:after="0"/>
        <w:tabs>
          <w:tab w:leader="none" w:pos="2180" w:val="left"/>
          <w:tab w:leader="none" w:pos="4980" w:val="left"/>
          <w:tab w:leader="none" w:pos="6980" w:val="left"/>
        </w:tabs>
        <w:rPr>
          <w:sz w:val="20"/>
          <w:szCs w:val="20"/>
          <w:color w:val="auto"/>
        </w:rPr>
      </w:pPr>
      <w:r>
        <w:rPr>
          <w:rFonts w:ascii="Times New Roman" w:cs="Times New Roman" w:eastAsia="Times New Roman" w:hAnsi="Times New Roman"/>
          <w:sz w:val="24"/>
          <w:szCs w:val="24"/>
          <w:b w:val="1"/>
          <w:bCs w:val="1"/>
          <w:color w:val="auto"/>
        </w:rPr>
        <w:t>Agenda Action:</w:t>
      </w:r>
      <w:r>
        <w:rPr>
          <w:sz w:val="20"/>
          <w:szCs w:val="20"/>
          <w:color w:val="auto"/>
        </w:rPr>
        <w:tab/>
      </w:r>
      <w:r>
        <w:rPr>
          <w:rFonts w:ascii="Times New Roman" w:cs="Times New Roman" w:eastAsia="Times New Roman" w:hAnsi="Times New Roman"/>
          <w:sz w:val="24"/>
          <w:szCs w:val="24"/>
          <w:color w:val="auto"/>
        </w:rPr>
        <w:t>Formal Action / Motion</w:t>
      </w:r>
      <w:r>
        <w:rPr>
          <w:sz w:val="20"/>
          <w:szCs w:val="20"/>
          <w:color w:val="auto"/>
        </w:rPr>
        <w:tab/>
      </w:r>
      <w:r>
        <w:rPr>
          <w:rFonts w:ascii="Times New Roman" w:cs="Times New Roman" w:eastAsia="Times New Roman" w:hAnsi="Times New Roman"/>
          <w:sz w:val="24"/>
          <w:szCs w:val="24"/>
          <w:b w:val="1"/>
          <w:bCs w:val="1"/>
          <w:color w:val="auto"/>
        </w:rPr>
        <w:t>Time Requested:</w:t>
      </w:r>
      <w:r>
        <w:rPr>
          <w:sz w:val="20"/>
          <w:szCs w:val="20"/>
          <w:color w:val="auto"/>
        </w:rPr>
        <w:tab/>
      </w:r>
      <w:r>
        <w:rPr>
          <w:rFonts w:ascii="Times New Roman" w:cs="Times New Roman" w:eastAsia="Times New Roman" w:hAnsi="Times New Roman"/>
          <w:sz w:val="23"/>
          <w:szCs w:val="23"/>
          <w:color w:val="auto"/>
        </w:rPr>
        <w:t>5 minutes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247650</wp:posOffset>
            </wp:positionV>
            <wp:extent cx="6362700" cy="304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6362700" cy="3048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2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Proposed Motion</w:t>
      </w:r>
    </w:p>
    <w:p>
      <w:pPr>
        <w:spacing w:after="0" w:line="32" w:lineRule="exact"/>
        <w:rPr>
          <w:sz w:val="24"/>
          <w:szCs w:val="24"/>
          <w:color w:val="auto"/>
        </w:rPr>
      </w:pPr>
    </w:p>
    <w:p>
      <w:pPr>
        <w:ind w:right="160"/>
        <w:spacing w:after="0" w:line="244" w:lineRule="auto"/>
        <w:rPr>
          <w:sz w:val="20"/>
          <w:szCs w:val="20"/>
          <w:color w:val="auto"/>
        </w:rPr>
      </w:pPr>
      <w:r>
        <w:rPr>
          <w:rFonts w:ascii="Times New Roman" w:cs="Times New Roman" w:eastAsia="Times New Roman" w:hAnsi="Times New Roman"/>
          <w:sz w:val="24"/>
          <w:szCs w:val="24"/>
          <w:color w:val="auto"/>
        </w:rPr>
        <w:t>I move to approve the Agreement as presented and to authorize the Transportation Manager to execute the Agreement as well as any future amendments to the Agreement regarding extensions of time or changes in funding that do not increase the total amount by more than 10 percent.</w:t>
      </w:r>
    </w:p>
    <w:p>
      <w:pPr>
        <w:spacing w:after="0" w:line="194"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Board's Strategic Goal</w:t>
      </w:r>
    </w:p>
    <w:p>
      <w:pPr>
        <w:spacing w:after="0" w:line="32"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N/A</w:t>
      </w:r>
    </w:p>
    <w:p>
      <w:pPr>
        <w:spacing w:after="0" w:line="20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Previous Action</w:t>
      </w:r>
    </w:p>
    <w:p>
      <w:pPr>
        <w:spacing w:after="0" w:line="32" w:lineRule="exact"/>
        <w:rPr>
          <w:sz w:val="24"/>
          <w:szCs w:val="24"/>
          <w:color w:val="auto"/>
        </w:rPr>
      </w:pPr>
    </w:p>
    <w:p>
      <w:pPr>
        <w:ind w:right="640"/>
        <w:spacing w:after="0" w:line="244" w:lineRule="auto"/>
        <w:rPr>
          <w:sz w:val="20"/>
          <w:szCs w:val="20"/>
          <w:color w:val="auto"/>
        </w:rPr>
      </w:pPr>
      <w:r>
        <w:rPr>
          <w:rFonts w:ascii="Times New Roman" w:cs="Times New Roman" w:eastAsia="Times New Roman" w:hAnsi="Times New Roman"/>
          <w:sz w:val="24"/>
          <w:szCs w:val="24"/>
          <w:color w:val="auto"/>
        </w:rPr>
        <w:t>January 14, 2026 (Item 5.B) – The Regional Transportation Commission (“RTC”) approved the submission of an STBG grant application to the Carson Area Metropolitan Planning Organization (“CAMPO”) for the Project.</w:t>
      </w:r>
    </w:p>
    <w:p>
      <w:pPr>
        <w:spacing w:after="0" w:line="236" w:lineRule="exact"/>
        <w:rPr>
          <w:sz w:val="24"/>
          <w:szCs w:val="24"/>
          <w:color w:val="auto"/>
        </w:rPr>
      </w:pPr>
    </w:p>
    <w:p>
      <w:pPr>
        <w:jc w:val="both"/>
        <w:spacing w:after="0" w:line="255" w:lineRule="auto"/>
        <w:rPr>
          <w:sz w:val="20"/>
          <w:szCs w:val="20"/>
          <w:color w:val="auto"/>
        </w:rPr>
      </w:pPr>
      <w:r>
        <w:rPr>
          <w:rFonts w:ascii="Times New Roman" w:cs="Times New Roman" w:eastAsia="Times New Roman" w:hAnsi="Times New Roman"/>
          <w:sz w:val="24"/>
          <w:szCs w:val="24"/>
          <w:color w:val="auto"/>
        </w:rPr>
        <w:t>June 11, 2025 (Item 5.A) – The Regional Transportation Commission (“RTC”) approved projects for road preservation and rehabilitation in District 3, including preservation on Fairview Drive from 5th Street to US 50.</w:t>
      </w:r>
    </w:p>
    <w:p>
      <w:pPr>
        <w:spacing w:after="0" w:line="224" w:lineRule="exact"/>
        <w:rPr>
          <w:sz w:val="24"/>
          <w:szCs w:val="24"/>
          <w:color w:val="auto"/>
        </w:rPr>
      </w:pPr>
    </w:p>
    <w:p>
      <w:pPr>
        <w:jc w:val="both"/>
        <w:ind w:right="20"/>
        <w:spacing w:after="0" w:line="271" w:lineRule="auto"/>
        <w:rPr>
          <w:sz w:val="20"/>
          <w:szCs w:val="20"/>
          <w:color w:val="auto"/>
        </w:rPr>
      </w:pPr>
      <w:r>
        <w:rPr>
          <w:rFonts w:ascii="Times New Roman" w:cs="Times New Roman" w:eastAsia="Times New Roman" w:hAnsi="Times New Roman"/>
          <w:sz w:val="24"/>
          <w:szCs w:val="24"/>
          <w:color w:val="auto"/>
        </w:rPr>
        <w:t>March 12, 2025 (Item 5.B) – The RTC approved the submission of an HSIP grant application to NDOT for the Project.</w:t>
      </w:r>
    </w:p>
    <w:p>
      <w:pPr>
        <w:spacing w:after="0" w:line="205" w:lineRule="exact"/>
        <w:rPr>
          <w:sz w:val="24"/>
          <w:szCs w:val="24"/>
          <w:color w:val="auto"/>
        </w:rPr>
      </w:pPr>
    </w:p>
    <w:p>
      <w:pPr>
        <w:jc w:val="both"/>
        <w:ind w:right="20"/>
        <w:spacing w:after="0" w:line="271" w:lineRule="auto"/>
        <w:rPr>
          <w:sz w:val="20"/>
          <w:szCs w:val="20"/>
          <w:color w:val="auto"/>
        </w:rPr>
      </w:pPr>
      <w:r>
        <w:rPr>
          <w:rFonts w:ascii="Times New Roman" w:cs="Times New Roman" w:eastAsia="Times New Roman" w:hAnsi="Times New Roman"/>
          <w:sz w:val="24"/>
          <w:szCs w:val="24"/>
          <w:color w:val="auto"/>
        </w:rPr>
        <w:t>November 13, 2024 (Item 5.A) - The RTC approved development of concepts and estimates for the Project.</w:t>
      </w:r>
    </w:p>
    <w:p>
      <w:pPr>
        <w:sectPr>
          <w:pgSz w:w="12240" w:h="15840" w:orient="portrait"/>
          <w:cols w:equalWidth="0" w:num="1">
            <w:col w:w="10020"/>
          </w:cols>
          <w:pgMar w:left="1080" w:top="831" w:right="1140" w:bottom="897" w:gutter="0" w:footer="0" w:header="0"/>
          <w:type w:val="continuous"/>
        </w:sect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Background/Issues &amp; Analysis</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NDOT announced the availability of federal HSIP funding through the HSIP Local</w:t>
      </w:r>
    </w:p>
    <w:p>
      <w:pPr>
        <w:jc w:val="both"/>
        <w:spacing w:after="0" w:line="241" w:lineRule="auto"/>
        <w:rPr>
          <w:sz w:val="20"/>
          <w:szCs w:val="20"/>
          <w:color w:val="auto"/>
        </w:rPr>
      </w:pPr>
      <w:r>
        <w:rPr>
          <w:rFonts w:ascii="Times New Roman" w:cs="Times New Roman" w:eastAsia="Times New Roman" w:hAnsi="Times New Roman"/>
          <w:sz w:val="24"/>
          <w:szCs w:val="24"/>
          <w:color w:val="auto"/>
        </w:rPr>
        <w:t>Infrastructure Safety Program (“Program”) in early 2025. The Program aimed to enhance roadway safety and reduce traffic- related fatalities and serious injuries on Nevada’s local roads. Staff previously used data from the Local Road Safety Plan to identify intersections around Carson City with higher than normal risk for vulnerable road users. Staff identified that the intersections identified would be eligible for HSIP funding due to the use of Local Road Safety Plan data and focus on vulnerable road user safety. Staff was formally notified by NDOT that it was awarded the funding on December 9, 2025. Due to overlap with a preservation project along the same route, the safety project is combined for design and construction with the District 3 Fairview Preservation Project.</w:t>
      </w:r>
    </w:p>
    <w:p>
      <w:pPr>
        <w:spacing w:after="0" w:line="241" w:lineRule="exact"/>
        <w:rPr>
          <w:sz w:val="20"/>
          <w:szCs w:val="20"/>
          <w:color w:val="auto"/>
        </w:rPr>
      </w:pPr>
    </w:p>
    <w:p>
      <w:pPr>
        <w:jc w:val="both"/>
        <w:spacing w:after="0" w:line="255" w:lineRule="auto"/>
        <w:rPr>
          <w:sz w:val="20"/>
          <w:szCs w:val="20"/>
          <w:color w:val="auto"/>
        </w:rPr>
      </w:pPr>
      <w:r>
        <w:rPr>
          <w:rFonts w:ascii="Times New Roman" w:cs="Times New Roman" w:eastAsia="Times New Roman" w:hAnsi="Times New Roman"/>
          <w:sz w:val="24"/>
          <w:szCs w:val="24"/>
          <w:color w:val="auto"/>
        </w:rPr>
        <w:t>CAMPO announced a call for projects in January 2026 for available STBG funds. Staff applied in February for STBG funds to be included in the District 3 Fairview Preservation Project. CAMPO announced that the Project was awarded STBG funds in March.</w:t>
      </w:r>
    </w:p>
    <w:p>
      <w:pPr>
        <w:spacing w:after="0" w:line="224" w:lineRule="exact"/>
        <w:rPr>
          <w:sz w:val="20"/>
          <w:szCs w:val="20"/>
          <w:color w:val="auto"/>
        </w:rPr>
      </w:pPr>
    </w:p>
    <w:p>
      <w:pPr>
        <w:jc w:val="both"/>
        <w:spacing w:after="0" w:line="244" w:lineRule="auto"/>
        <w:rPr>
          <w:sz w:val="20"/>
          <w:szCs w:val="20"/>
          <w:color w:val="auto"/>
        </w:rPr>
      </w:pPr>
      <w:r>
        <w:rPr>
          <w:rFonts w:ascii="Times New Roman" w:cs="Times New Roman" w:eastAsia="Times New Roman" w:hAnsi="Times New Roman"/>
          <w:sz w:val="24"/>
          <w:szCs w:val="24"/>
          <w:color w:val="auto"/>
        </w:rPr>
        <w:t>HSIP and STBG funds will be used for the construction of the Project. The Project will install pedestrian refuges, raised medians, signs, lighting, ADA improvements, and sidewalk improvements to improve safety and connectivity at major pedestrian crossings on College Pkwy and Fairview Drive. The project will also complete crack repair, patching, and surface treatment on Fairview Drive between 5th Street and US 50. The total Agreement includes $906,342 in federal HSIP funding and $901,100 in federal STBG funding with $95,129 in required local match. There is an additional $96,794 for construction in additional funding outside the Agreement to a total amount of $1,999,365. Design of the Project is funded solely by local funding.</w:t>
      </w:r>
    </w:p>
    <w:p>
      <w:pPr>
        <w:spacing w:after="0" w:line="239"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Design of the Project has started, and construction is anticipated to start in mid-2027.</w:t>
      </w:r>
    </w:p>
    <w:p>
      <w:pPr>
        <w:spacing w:after="0" w:line="234"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Applicable Statute, Code, Policy, Rule or Regulation</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NRS 277.180, 277A.270</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Financial Information</w:t>
      </w:r>
    </w:p>
    <w:p>
      <w:pPr>
        <w:spacing w:after="0" w:line="32" w:lineRule="exact"/>
        <w:rPr>
          <w:sz w:val="20"/>
          <w:szCs w:val="20"/>
          <w:color w:val="auto"/>
        </w:rPr>
      </w:pPr>
    </w:p>
    <w:p>
      <w:pPr>
        <w:spacing w:after="0"/>
        <w:tabs>
          <w:tab w:leader="none" w:pos="2660" w:val="left"/>
        </w:tabs>
        <w:rPr>
          <w:sz w:val="20"/>
          <w:szCs w:val="20"/>
          <w:color w:val="auto"/>
        </w:rPr>
      </w:pPr>
      <w:r>
        <w:rPr>
          <w:rFonts w:ascii="Times New Roman" w:cs="Times New Roman" w:eastAsia="Times New Roman" w:hAnsi="Times New Roman"/>
          <w:sz w:val="24"/>
          <w:szCs w:val="24"/>
          <w:b w:val="1"/>
          <w:bCs w:val="1"/>
          <w:color w:val="auto"/>
        </w:rPr>
        <w:t>Is there a fiscal impact?</w:t>
      </w:r>
      <w:r>
        <w:rPr>
          <w:sz w:val="20"/>
          <w:szCs w:val="20"/>
          <w:color w:val="auto"/>
        </w:rPr>
        <w:tab/>
      </w:r>
      <w:r>
        <w:rPr>
          <w:rFonts w:ascii="Times New Roman" w:cs="Times New Roman" w:eastAsia="Times New Roman" w:hAnsi="Times New Roman"/>
          <w:sz w:val="23"/>
          <w:szCs w:val="23"/>
          <w:color w:val="auto"/>
        </w:rPr>
        <w:t>Yes</w:t>
      </w:r>
    </w:p>
    <w:p>
      <w:pPr>
        <w:spacing w:after="0" w:line="208" w:lineRule="exact"/>
        <w:rPr>
          <w:sz w:val="20"/>
          <w:szCs w:val="20"/>
          <w:color w:val="auto"/>
        </w:rPr>
      </w:pPr>
    </w:p>
    <w:p>
      <w:pPr>
        <w:ind w:right="120"/>
        <w:spacing w:after="0" w:line="249" w:lineRule="auto"/>
        <w:rPr>
          <w:sz w:val="20"/>
          <w:szCs w:val="20"/>
          <w:color w:val="auto"/>
        </w:rPr>
      </w:pPr>
      <w:r>
        <w:rPr>
          <w:rFonts w:ascii="Times New Roman" w:cs="Times New Roman" w:eastAsia="Times New Roman" w:hAnsi="Times New Roman"/>
          <w:sz w:val="24"/>
          <w:szCs w:val="24"/>
          <w:b w:val="1"/>
          <w:bCs w:val="1"/>
          <w:color w:val="auto"/>
        </w:rPr>
        <w:t>If yes, account name/number:</w:t>
      </w:r>
      <w:r>
        <w:rPr>
          <w:rFonts w:ascii="Times New Roman" w:cs="Times New Roman" w:eastAsia="Times New Roman" w:hAnsi="Times New Roman"/>
          <w:sz w:val="24"/>
          <w:szCs w:val="24"/>
          <w:color w:val="auto"/>
        </w:rPr>
        <w:t xml:space="preserve"> Project No. P303526003. For revenue – Regional Transportation Fund, Federal Grants / 2503082-431010. For expenses – Regional Transportation fund, Capital Improvements / 2503035-507010. V&amp;T Infrastructure Fund, Capital Improvements / 2535005-507010, Water Utility Fund, Capital Improvements / 5203502-507010, Sewer Utility Fund, Capital Improvements / 5103205-507010.</w:t>
      </w:r>
    </w:p>
    <w:p>
      <w:pPr>
        <w:spacing w:after="0" w:line="18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Is it currently budgeted?</w:t>
      </w:r>
      <w:r>
        <w:rPr>
          <w:rFonts w:ascii="Times New Roman" w:cs="Times New Roman" w:eastAsia="Times New Roman" w:hAnsi="Times New Roman"/>
          <w:sz w:val="24"/>
          <w:szCs w:val="24"/>
          <w:color w:val="auto"/>
        </w:rPr>
        <w:t xml:space="preserve">  No</w:t>
      </w:r>
    </w:p>
    <w:p>
      <w:pPr>
        <w:spacing w:after="0" w:line="240" w:lineRule="exact"/>
        <w:rPr>
          <w:sz w:val="20"/>
          <w:szCs w:val="20"/>
          <w:color w:val="auto"/>
        </w:rPr>
      </w:pPr>
    </w:p>
    <w:p>
      <w:pPr>
        <w:ind w:right="40"/>
        <w:spacing w:after="0" w:line="244" w:lineRule="auto"/>
        <w:rPr>
          <w:sz w:val="20"/>
          <w:szCs w:val="20"/>
          <w:color w:val="auto"/>
        </w:rPr>
      </w:pPr>
      <w:r>
        <w:rPr>
          <w:rFonts w:ascii="Times New Roman" w:cs="Times New Roman" w:eastAsia="Times New Roman" w:hAnsi="Times New Roman"/>
          <w:sz w:val="24"/>
          <w:szCs w:val="24"/>
          <w:b w:val="1"/>
          <w:bCs w:val="1"/>
          <w:color w:val="auto"/>
        </w:rPr>
        <w:t>Explanation of Fiscal Impact:</w:t>
      </w:r>
      <w:r>
        <w:rPr>
          <w:rFonts w:ascii="Times New Roman" w:cs="Times New Roman" w:eastAsia="Times New Roman" w:hAnsi="Times New Roman"/>
          <w:sz w:val="24"/>
          <w:szCs w:val="24"/>
          <w:color w:val="auto"/>
        </w:rPr>
        <w:t xml:space="preserve"> Project No. P303526003. If approved, the Project will receive $906,342 in HSIP funds and $ 901,100 in STBG funds. HSIP and STBG funds both require a 5 percent local match, totaling $95,129, which will be provided from the Regional Transportation Fund, Capital Improvements account, Safety Improvement Project, Project No. P303517008, which contributed to the current project budget. There is $96,794 in construction funding outside the agreement, which consists of $6,148 from the Regional Transportation Fund, $48,646 from the V&amp;T Infrastructure Fund, $20,400 from the Sewer Utility Fund, and $21,600 from the Water Utility Fund, for a total amount of $1,999,365. The available budget in RTC is $1,216,527, which already includes the $906,342 HSIP funding. If approved, RT Fund revenues and expenses will be augmented for grant revenue and project expenses. The available balance for the V&amp;T Infrastructure Fund is $544,879, which will be reduced</w:t>
      </w:r>
    </w:p>
    <w:p>
      <w:pPr>
        <w:sectPr>
          <w:pgSz w:w="12240" w:h="15840" w:orient="portrait"/>
          <w:cols w:equalWidth="0" w:num="1">
            <w:col w:w="10020"/>
          </w:cols>
          <w:pgMar w:left="1080" w:top="825" w:right="1140" w:bottom="785" w:gutter="0" w:footer="0" w:header="0"/>
        </w:sectPr>
      </w:pPr>
    </w:p>
    <w:p>
      <w:pPr>
        <w:ind w:right="20"/>
        <w:spacing w:after="0" w:line="271" w:lineRule="auto"/>
        <w:rPr>
          <w:sz w:val="20"/>
          <w:szCs w:val="20"/>
          <w:color w:val="auto"/>
        </w:rPr>
      </w:pPr>
      <w:r>
        <w:rPr>
          <w:rFonts w:ascii="Times New Roman" w:cs="Times New Roman" w:eastAsia="Times New Roman" w:hAnsi="Times New Roman"/>
          <w:sz w:val="24"/>
          <w:szCs w:val="24"/>
          <w:color w:val="auto"/>
        </w:rPr>
        <w:t>following execution of the Agreement. The available balances for the Sewer and Water funding have been budgeted in the Project at the amounts listed.</w:t>
      </w:r>
    </w:p>
    <w:p>
      <w:pPr>
        <w:spacing w:after="0" w:line="163"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Alternatives</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Do not approve the Agreement and provide an alternative direction to staff.</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Attachment(s):</w:t>
      </w:r>
    </w:p>
    <w:p>
      <w:pPr>
        <w:spacing w:after="0" w:line="32" w:lineRule="exact"/>
        <w:rPr>
          <w:sz w:val="20"/>
          <w:szCs w:val="20"/>
          <w:color w:val="auto"/>
        </w:rPr>
      </w:pPr>
    </w:p>
    <w:p>
      <w:pPr>
        <w:spacing w:after="0"/>
        <w:rPr>
          <w:rFonts w:ascii="Times New Roman" w:cs="Times New Roman" w:eastAsia="Times New Roman" w:hAnsi="Times New Roman"/>
          <w:sz w:val="24"/>
          <w:szCs w:val="24"/>
          <w:color w:val="0000EE"/>
        </w:rPr>
      </w:pPr>
      <w:hyperlink r:id="rId14">
        <w:r>
          <w:rPr>
            <w:rFonts w:ascii="Times New Roman" w:cs="Times New Roman" w:eastAsia="Times New Roman" w:hAnsi="Times New Roman"/>
            <w:sz w:val="24"/>
            <w:szCs w:val="24"/>
            <w:color w:val="0000EE"/>
          </w:rPr>
          <w:t>5D_RTC_Exhibit 1 - D3 Fairview LPA Agreement PR007-26-063.pdf</w:t>
        </w:r>
      </w:hyperlink>
    </w:p>
    <w:p>
      <w:pPr>
        <w:spacing w:after="0" w:line="200" w:lineRule="exact"/>
        <w:rPr>
          <w:sz w:val="20"/>
          <w:szCs w:val="20"/>
          <w:color w:val="auto"/>
        </w:rPr>
      </w:pPr>
    </w:p>
    <w:p>
      <w:pPr>
        <w:spacing w:after="0" w:line="290"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3820" w:type="dxa"/>
            <w:vAlign w:val="bottom"/>
          </w:tcPr>
          <w:p>
            <w:pPr>
              <w:spacing w:after="0"/>
              <w:rPr>
                <w:sz w:val="20"/>
                <w:szCs w:val="20"/>
                <w:color w:val="auto"/>
              </w:rPr>
            </w:pPr>
            <w:r>
              <w:rPr>
                <w:rFonts w:ascii="Times New Roman" w:cs="Times New Roman" w:eastAsia="Times New Roman" w:hAnsi="Times New Roman"/>
                <w:sz w:val="24"/>
                <w:szCs w:val="24"/>
                <w:color w:val="auto"/>
              </w:rPr>
              <w:t>Motion: _________________</w:t>
            </w:r>
          </w:p>
        </w:tc>
        <w:tc>
          <w:tcPr>
            <w:tcW w:w="2720" w:type="dxa"/>
            <w:vAlign w:val="bottom"/>
          </w:tcPr>
          <w:p>
            <w:pPr>
              <w:jc w:val="right"/>
              <w:ind w:right="320"/>
              <w:spacing w:after="0"/>
              <w:rPr>
                <w:sz w:val="20"/>
                <w:szCs w:val="20"/>
                <w:color w:val="auto"/>
              </w:rPr>
            </w:pPr>
            <w:r>
              <w:rPr>
                <w:rFonts w:ascii="Times New Roman" w:cs="Times New Roman" w:eastAsia="Times New Roman" w:hAnsi="Times New Roman"/>
                <w:sz w:val="24"/>
                <w:szCs w:val="24"/>
                <w:color w:val="auto"/>
              </w:rPr>
              <w:t>1) ________________</w:t>
            </w: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rPr>
              <w:t>Aye/Nay</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jc w:val="right"/>
              <w:ind w:right="320"/>
              <w:spacing w:after="0"/>
              <w:rPr>
                <w:sz w:val="20"/>
                <w:szCs w:val="20"/>
                <w:color w:val="auto"/>
              </w:rPr>
            </w:pPr>
            <w:r>
              <w:rPr>
                <w:rFonts w:ascii="Times New Roman" w:cs="Times New Roman" w:eastAsia="Times New Roman" w:hAnsi="Times New Roman"/>
                <w:sz w:val="24"/>
                <w:szCs w:val="24"/>
                <w:color w:val="auto"/>
              </w:rPr>
              <w:t>2) ________________</w:t>
            </w: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312"/>
        </w:trPr>
        <w:tc>
          <w:tcPr>
            <w:tcW w:w="382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_____________________________</w:t>
            </w: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40"/>
        </w:trPr>
        <w:tc>
          <w:tcPr>
            <w:tcW w:w="3820" w:type="dxa"/>
            <w:vAlign w:val="bottom"/>
            <w:vMerge w:val="continue"/>
          </w:tcPr>
          <w:p>
            <w:pPr>
              <w:spacing w:after="0"/>
              <w:rPr>
                <w:sz w:val="20"/>
                <w:szCs w:val="20"/>
                <w:color w:val="auto"/>
              </w:rPr>
            </w:pPr>
          </w:p>
        </w:tc>
        <w:tc>
          <w:tcPr>
            <w:tcW w:w="2720" w:type="dxa"/>
            <w:vAlign w:val="bottom"/>
          </w:tcPr>
          <w:p>
            <w:pPr>
              <w:spacing w:after="0"/>
              <w:rPr>
                <w:sz w:val="20"/>
                <w:szCs w:val="20"/>
                <w:color w:val="auto"/>
              </w:rPr>
            </w:pPr>
          </w:p>
        </w:tc>
        <w:tc>
          <w:tcPr>
            <w:tcW w:w="168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312"/>
        </w:trPr>
        <w:tc>
          <w:tcPr>
            <w:tcW w:w="3820" w:type="dxa"/>
            <w:vAlign w:val="bottom"/>
          </w:tcPr>
          <w:p>
            <w:pPr>
              <w:jc w:val="center"/>
              <w:ind w:left="60"/>
              <w:spacing w:after="0"/>
              <w:rPr>
                <w:sz w:val="20"/>
                <w:szCs w:val="20"/>
                <w:color w:val="auto"/>
              </w:rPr>
            </w:pPr>
            <w:r>
              <w:rPr>
                <w:rFonts w:ascii="Times New Roman" w:cs="Times New Roman" w:eastAsia="Times New Roman" w:hAnsi="Times New Roman"/>
                <w:sz w:val="24"/>
                <w:szCs w:val="24"/>
                <w:color w:val="auto"/>
              </w:rPr>
              <w:t>(Vote Recorded By)</w:t>
            </w:r>
          </w:p>
        </w:tc>
        <w:tc>
          <w:tcPr>
            <w:tcW w:w="2720" w:type="dxa"/>
            <w:vAlign w:val="bottom"/>
          </w:tcPr>
          <w:p>
            <w:pPr>
              <w:spacing w:after="0"/>
              <w:rPr>
                <w:sz w:val="24"/>
                <w:szCs w:val="24"/>
                <w:color w:val="auto"/>
              </w:rPr>
            </w:pPr>
          </w:p>
        </w:tc>
        <w:tc>
          <w:tcPr>
            <w:tcW w:w="1680" w:type="dxa"/>
            <w:vAlign w:val="bottom"/>
          </w:tcPr>
          <w:p>
            <w:pPr>
              <w:spacing w:after="0"/>
              <w:rPr>
                <w:sz w:val="24"/>
                <w:szCs w:val="24"/>
                <w:color w:val="auto"/>
              </w:rPr>
            </w:pPr>
          </w:p>
        </w:tc>
        <w:tc>
          <w:tcPr>
            <w:tcW w:w="0" w:type="dxa"/>
            <w:vAlign w:val="bottom"/>
          </w:tcPr>
          <w:p>
            <w:pPr>
              <w:spacing w:after="0"/>
              <w:rPr>
                <w:sz w:val="1"/>
                <w:szCs w:val="1"/>
                <w:color w:val="auto"/>
              </w:rPr>
            </w:pPr>
          </w:p>
        </w:tc>
      </w:tr>
    </w:tbl>
    <w:p>
      <w:pPr>
        <w:spacing w:after="0" w:line="1" w:lineRule="exact"/>
        <w:rPr>
          <w:sz w:val="20"/>
          <w:szCs w:val="20"/>
          <w:color w:val="auto"/>
        </w:rPr>
      </w:pPr>
    </w:p>
    <w:sectPr>
      <w:pgSz w:w="12240" w:h="15840" w:orient="portrait"/>
      <w:cols w:equalWidth="0" w:num="1">
        <w:col w:w="9720"/>
      </w:cols>
      <w:pgMar w:left="1080" w:top="831"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hyperlink" Target="https://carsoncity.granicus.com/services/legistar/download/pdf/4005744/5D_RTC_Exhibit_1_-_D3_Fairview_LPA_Agreement_PR007-26-063.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2026-04-02T17:21:02Z</dcterms:created>
  <dcterms:modified xsi:type="dcterms:W3CDTF">2026-04-02T17:21:02Z</dcterms:modified>
</cp:coreProperties>
</file>