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p>
      <w:pPr>
        <w:ind w:left="7860"/>
        <w:spacing w:after="0"/>
        <w:rPr>
          <w:sz w:val="20"/>
          <w:szCs w:val="20"/>
          <w:color w:val="auto"/>
        </w:rPr>
      </w:pPr>
      <w:r>
        <w:rPr>
          <w:rFonts w:ascii="Times New Roman" w:cs="Times New Roman" w:eastAsia="Times New Roman" w:hAnsi="Times New Roman"/>
          <w:sz w:val="23"/>
          <w:szCs w:val="23"/>
          <w:color w:val="auto"/>
        </w:rPr>
        <w:t>Agenda Item No: 11.d</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0</wp:posOffset>
            </wp:positionH>
            <wp:positionV relativeFrom="paragraph">
              <wp:posOffset>22225</wp:posOffset>
            </wp:positionV>
            <wp:extent cx="1234440" cy="9220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extLst>
                    </a:blip>
                    <a:srcRect/>
                    <a:stretch>
                      <a:fillRect/>
                    </a:stretch>
                  </pic:blipFill>
                  <pic:spPr bwMode="auto">
                    <a:xfrm>
                      <a:off x="0" y="0"/>
                      <a:ext cx="1234440" cy="922020"/>
                    </a:xfrm>
                    <a:prstGeom prst="rect">
                      <a:avLst/>
                    </a:prstGeom>
                    <a:noFill/>
                  </pic:spPr>
                </pic:pic>
              </a:graphicData>
            </a:graphic>
          </wp:anchor>
        </w:drawing>
      </w:r>
    </w:p>
    <w:p>
      <w:pPr>
        <w:spacing w:after="0" w:line="200" w:lineRule="exact"/>
        <w:rPr>
          <w:sz w:val="24"/>
          <w:szCs w:val="24"/>
          <w:color w:val="auto"/>
        </w:rPr>
      </w:pPr>
    </w:p>
    <w:p>
      <w:pPr>
        <w:spacing w:after="0" w:line="323" w:lineRule="exact"/>
        <w:rPr>
          <w:sz w:val="24"/>
          <w:szCs w:val="24"/>
          <w:color w:val="auto"/>
        </w:rPr>
      </w:pPr>
    </w:p>
    <w:p>
      <w:pPr>
        <w:ind w:left="2200"/>
        <w:spacing w:after="0"/>
        <w:rPr>
          <w:sz w:val="20"/>
          <w:szCs w:val="20"/>
          <w:color w:val="auto"/>
        </w:rPr>
      </w:pPr>
      <w:r>
        <w:rPr>
          <w:rFonts w:ascii="Times New Roman" w:cs="Times New Roman" w:eastAsia="Times New Roman" w:hAnsi="Times New Roman"/>
          <w:sz w:val="36"/>
          <w:szCs w:val="36"/>
          <w:b w:val="1"/>
          <w:bCs w:val="1"/>
          <w:color w:val="auto"/>
        </w:rPr>
        <w:t>STAFF REPORT</w:t>
      </w:r>
    </w:p>
    <w:p>
      <w:pPr>
        <w:sectPr>
          <w:pgSz w:w="12240" w:h="15840" w:orient="portrait"/>
          <w:cols w:equalWidth="0" w:num="1">
            <w:col w:w="10000"/>
          </w:cols>
          <w:pgMar w:left="1080" w:top="831" w:right="1160" w:bottom="728" w:gutter="0" w:footer="0" w:header="0"/>
        </w:sectPr>
      </w:pPr>
    </w:p>
    <w:p>
      <w:pPr>
        <w:spacing w:after="0" w:line="200" w:lineRule="exact"/>
        <w:rPr>
          <w:sz w:val="24"/>
          <w:szCs w:val="24"/>
          <w:color w:val="auto"/>
        </w:rPr>
      </w:pPr>
    </w:p>
    <w:p>
      <w:pPr>
        <w:spacing w:after="0" w:line="200" w:lineRule="exact"/>
        <w:rPr>
          <w:sz w:val="24"/>
          <w:szCs w:val="24"/>
          <w:color w:val="auto"/>
        </w:rPr>
      </w:pPr>
    </w:p>
    <w:p>
      <w:pPr>
        <w:spacing w:after="0" w:line="341" w:lineRule="exact"/>
        <w:rPr>
          <w:sz w:val="24"/>
          <w:szCs w:val="24"/>
          <w:color w:val="auto"/>
        </w:rPr>
      </w:pPr>
    </w:p>
    <w:p>
      <w:pPr>
        <w:spacing w:after="0"/>
        <w:rPr>
          <w:sz w:val="20"/>
          <w:szCs w:val="20"/>
          <w:color w:val="auto"/>
        </w:rPr>
      </w:pPr>
      <w:r>
        <w:rPr>
          <w:rFonts w:ascii="Times New Roman" w:cs="Times New Roman" w:eastAsia="Times New Roman" w:hAnsi="Times New Roman"/>
          <w:sz w:val="23"/>
          <w:szCs w:val="23"/>
          <w:b w:val="1"/>
          <w:bCs w:val="1"/>
          <w:color w:val="auto"/>
        </w:rPr>
        <w:t>Report To:</w:t>
      </w:r>
    </w:p>
    <w:p>
      <w:pPr>
        <w:spacing w:after="0" w:line="20" w:lineRule="exact"/>
        <w:rPr>
          <w:sz w:val="24"/>
          <w:szCs w:val="24"/>
          <w:color w:val="auto"/>
        </w:rPr>
      </w:pPr>
      <w:r>
        <w:rPr>
          <w:sz w:val="24"/>
          <w:szCs w:val="24"/>
          <w:color w:val="auto"/>
        </w:rPr>
        <w:br w:type="column"/>
      </w:r>
    </w:p>
    <w:p>
      <w:pPr>
        <w:spacing w:after="0" w:line="200" w:lineRule="exact"/>
        <w:rPr>
          <w:sz w:val="24"/>
          <w:szCs w:val="24"/>
          <w:color w:val="auto"/>
        </w:rPr>
      </w:pPr>
    </w:p>
    <w:p>
      <w:pPr>
        <w:spacing w:after="0" w:line="200" w:lineRule="exact"/>
        <w:rPr>
          <w:sz w:val="24"/>
          <w:szCs w:val="24"/>
          <w:color w:val="auto"/>
        </w:rPr>
      </w:pPr>
    </w:p>
    <w:p>
      <w:pPr>
        <w:spacing w:after="0" w:line="327" w:lineRule="exact"/>
        <w:rPr>
          <w:sz w:val="24"/>
          <w:szCs w:val="24"/>
          <w:color w:val="auto"/>
        </w:rPr>
      </w:pPr>
    </w:p>
    <w:p>
      <w:pPr>
        <w:spacing w:after="0"/>
        <w:rPr>
          <w:sz w:val="20"/>
          <w:szCs w:val="20"/>
          <w:color w:val="auto"/>
        </w:rPr>
      </w:pPr>
      <w:r>
        <w:rPr>
          <w:rFonts w:ascii="Times New Roman" w:cs="Times New Roman" w:eastAsia="Times New Roman" w:hAnsi="Times New Roman"/>
          <w:sz w:val="23"/>
          <w:szCs w:val="23"/>
          <w:color w:val="auto"/>
        </w:rPr>
        <w:t>Board of Supervisors</w:t>
      </w:r>
    </w:p>
    <w:p>
      <w:pPr>
        <w:spacing w:after="0" w:line="20" w:lineRule="exact"/>
        <w:rPr>
          <w:sz w:val="24"/>
          <w:szCs w:val="24"/>
          <w:color w:val="auto"/>
        </w:rPr>
      </w:pPr>
      <w:r>
        <w:rPr>
          <w:sz w:val="24"/>
          <w:szCs w:val="24"/>
          <w:color w:val="auto"/>
        </w:rPr>
        <w:br w:type="column"/>
      </w:r>
    </w:p>
    <w:p>
      <w:pPr>
        <w:spacing w:after="0" w:line="200" w:lineRule="exact"/>
        <w:rPr>
          <w:sz w:val="24"/>
          <w:szCs w:val="24"/>
          <w:color w:val="auto"/>
        </w:rPr>
      </w:pPr>
    </w:p>
    <w:p>
      <w:pPr>
        <w:spacing w:after="0" w:line="200" w:lineRule="exact"/>
        <w:rPr>
          <w:sz w:val="24"/>
          <w:szCs w:val="24"/>
          <w:color w:val="auto"/>
        </w:rPr>
      </w:pPr>
    </w:p>
    <w:p>
      <w:pPr>
        <w:spacing w:after="0" w:line="321"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color w:val="auto"/>
        </w:rPr>
        <w:t>Meeting Date:</w:t>
      </w:r>
    </w:p>
    <w:p>
      <w:pPr>
        <w:spacing w:after="0" w:line="20" w:lineRule="exact"/>
        <w:rPr>
          <w:sz w:val="24"/>
          <w:szCs w:val="24"/>
          <w:color w:val="auto"/>
        </w:rPr>
      </w:pPr>
      <w:r>
        <w:rPr>
          <w:sz w:val="24"/>
          <w:szCs w:val="24"/>
          <w:color w:val="auto"/>
        </w:rPr>
        <w:br w:type="column"/>
      </w:r>
    </w:p>
    <w:p>
      <w:pPr>
        <w:spacing w:after="0" w:line="200" w:lineRule="exact"/>
        <w:rPr>
          <w:sz w:val="24"/>
          <w:szCs w:val="24"/>
          <w:color w:val="auto"/>
        </w:rPr>
      </w:pPr>
    </w:p>
    <w:p>
      <w:pPr>
        <w:spacing w:after="0" w:line="200" w:lineRule="exact"/>
        <w:rPr>
          <w:sz w:val="24"/>
          <w:szCs w:val="24"/>
          <w:color w:val="auto"/>
        </w:rPr>
      </w:pPr>
    </w:p>
    <w:p>
      <w:pPr>
        <w:spacing w:after="0" w:line="327" w:lineRule="exact"/>
        <w:rPr>
          <w:sz w:val="24"/>
          <w:szCs w:val="24"/>
          <w:color w:val="auto"/>
        </w:rPr>
      </w:pPr>
    </w:p>
    <w:p>
      <w:pPr>
        <w:spacing w:after="0"/>
        <w:rPr>
          <w:sz w:val="20"/>
          <w:szCs w:val="20"/>
          <w:color w:val="auto"/>
        </w:rPr>
      </w:pPr>
      <w:r>
        <w:rPr>
          <w:rFonts w:ascii="Times New Roman" w:cs="Times New Roman" w:eastAsia="Times New Roman" w:hAnsi="Times New Roman"/>
          <w:sz w:val="23"/>
          <w:szCs w:val="23"/>
          <w:color w:val="auto"/>
        </w:rPr>
        <w:t>July 2, 2026</w:t>
      </w:r>
    </w:p>
    <w:p>
      <w:pPr>
        <w:spacing w:after="0" w:line="205" w:lineRule="exact"/>
        <w:rPr>
          <w:sz w:val="24"/>
          <w:szCs w:val="24"/>
          <w:color w:val="auto"/>
        </w:rPr>
      </w:pPr>
    </w:p>
    <w:p>
      <w:pPr>
        <w:sectPr>
          <w:pgSz w:w="12240" w:h="15840" w:orient="portrait"/>
          <w:cols w:equalWidth="0" w:num="4">
            <w:col w:w="1480" w:space="720"/>
            <w:col w:w="2080" w:space="720"/>
            <w:col w:w="1460" w:space="540"/>
            <w:col w:w="3000"/>
          </w:cols>
          <w:pgMar w:left="1080" w:top="831" w:right="1160" w:bottom="728" w:gutter="0" w:footer="0" w:header="0"/>
          <w:type w:val="continuous"/>
        </w:sectPr>
      </w:pPr>
    </w:p>
    <w:p>
      <w:pPr>
        <w:spacing w:after="0" w:line="40" w:lineRule="exact"/>
        <w:rPr>
          <w:sz w:val="24"/>
          <w:szCs w:val="24"/>
          <w:color w:val="auto"/>
        </w:rPr>
      </w:pPr>
    </w:p>
    <w:p>
      <w:pPr>
        <w:spacing w:after="0"/>
        <w:rPr>
          <w:sz w:val="20"/>
          <w:szCs w:val="20"/>
          <w:color w:val="auto"/>
        </w:rPr>
      </w:pPr>
      <w:r>
        <w:rPr>
          <w:rFonts w:ascii="Times New Roman" w:cs="Times New Roman" w:eastAsia="Times New Roman" w:hAnsi="Times New Roman"/>
          <w:sz w:val="23"/>
          <w:szCs w:val="23"/>
          <w:b w:val="1"/>
          <w:bCs w:val="1"/>
          <w:color w:val="auto"/>
        </w:rPr>
        <w:t>Staff Contact:</w:t>
      </w:r>
    </w:p>
    <w:p>
      <w:pPr>
        <w:spacing w:after="0" w:line="20" w:lineRule="exact"/>
        <w:rPr>
          <w:sz w:val="24"/>
          <w:szCs w:val="24"/>
          <w:color w:val="auto"/>
        </w:rPr>
      </w:pPr>
      <w:r>
        <w:rPr>
          <w:sz w:val="24"/>
          <w:szCs w:val="24"/>
          <w:color w:val="auto"/>
        </w:rPr>
        <w:br w:type="column"/>
      </w:r>
    </w:p>
    <w:p>
      <w:pPr>
        <w:spacing w:after="0" w:line="26" w:lineRule="exact"/>
        <w:rPr>
          <w:sz w:val="24"/>
          <w:szCs w:val="24"/>
          <w:color w:val="auto"/>
        </w:rPr>
      </w:pPr>
    </w:p>
    <w:p>
      <w:pPr>
        <w:ind w:right="240"/>
        <w:spacing w:after="0" w:line="271" w:lineRule="auto"/>
        <w:rPr>
          <w:sz w:val="20"/>
          <w:szCs w:val="20"/>
          <w:color w:val="auto"/>
        </w:rPr>
      </w:pPr>
      <w:r>
        <w:rPr>
          <w:rFonts w:ascii="Times New Roman" w:cs="Times New Roman" w:eastAsia="Times New Roman" w:hAnsi="Times New Roman"/>
          <w:sz w:val="24"/>
          <w:szCs w:val="24"/>
          <w:color w:val="auto"/>
        </w:rPr>
        <w:t>Carol Akers, Purchasing &amp; Contracts Administrator and Darren Schulz, Public Works Director</w:t>
      </w:r>
    </w:p>
    <w:p>
      <w:pPr>
        <w:spacing w:after="0" w:line="163" w:lineRule="exact"/>
        <w:rPr>
          <w:sz w:val="24"/>
          <w:szCs w:val="24"/>
          <w:color w:val="auto"/>
        </w:rPr>
      </w:pPr>
    </w:p>
    <w:p>
      <w:pPr>
        <w:sectPr>
          <w:pgSz w:w="12240" w:h="15840" w:orient="portrait"/>
          <w:cols w:equalWidth="0" w:num="2">
            <w:col w:w="1480" w:space="720"/>
            <w:col w:w="7800"/>
          </w:cols>
          <w:pgMar w:left="1080" w:top="831" w:right="1160" w:bottom="728" w:gutter="0" w:footer="0" w:header="0"/>
          <w:type w:val="continuous"/>
        </w:sectPr>
      </w:pPr>
    </w:p>
    <w:p>
      <w:pPr>
        <w:jc w:val="both"/>
        <w:ind w:left="2200" w:hanging="2195"/>
        <w:spacing w:after="0" w:line="246" w:lineRule="auto"/>
        <w:tabs>
          <w:tab w:leader="none" w:pos="2180" w:val="left"/>
        </w:tabs>
        <w:rPr>
          <w:sz w:val="20"/>
          <w:szCs w:val="20"/>
          <w:color w:val="auto"/>
        </w:rPr>
      </w:pPr>
      <w:r>
        <w:rPr>
          <w:rFonts w:ascii="Times New Roman" w:cs="Times New Roman" w:eastAsia="Times New Roman" w:hAnsi="Times New Roman"/>
          <w:sz w:val="24"/>
          <w:szCs w:val="24"/>
          <w:b w:val="1"/>
          <w:bCs w:val="1"/>
          <w:color w:val="auto"/>
        </w:rPr>
        <w:t>Agenda Title:</w:t>
      </w:r>
      <w:r>
        <w:rPr>
          <w:sz w:val="20"/>
          <w:szCs w:val="20"/>
          <w:color w:val="auto"/>
        </w:rPr>
        <w:tab/>
      </w:r>
      <w:r>
        <w:rPr>
          <w:rFonts w:ascii="Times New Roman" w:cs="Times New Roman" w:eastAsia="Times New Roman" w:hAnsi="Times New Roman"/>
          <w:sz w:val="24"/>
          <w:szCs w:val="24"/>
          <w:color w:val="auto"/>
        </w:rPr>
        <w:t>For Possible Action: Discussion and possible action regarding Contract No. 27300003 (“Contract”) with Empire Southwest, LLC (“Empire”) to provide repair and preventative maintenance services, as needed, for heavy equipment at the Carson City Landfill (“Landfill”) during Fiscal Year (“FY”) 2027, for a not to exceed amount of $175,000. (Carol Akers, cakers@carsoncity.gov and Justin Tiearney, jtiearney@carsoncity.gov)</w:t>
      </w:r>
    </w:p>
    <w:p>
      <w:pPr>
        <w:spacing w:after="0" w:line="199" w:lineRule="exact"/>
        <w:rPr>
          <w:sz w:val="24"/>
          <w:szCs w:val="24"/>
          <w:color w:val="auto"/>
        </w:rPr>
      </w:pPr>
    </w:p>
    <w:p>
      <w:pPr>
        <w:spacing w:after="0"/>
        <w:tabs>
          <w:tab w:leader="none" w:pos="2180" w:val="left"/>
          <w:tab w:leader="none" w:pos="4980" w:val="left"/>
          <w:tab w:leader="none" w:pos="6980" w:val="left"/>
        </w:tabs>
        <w:rPr>
          <w:sz w:val="20"/>
          <w:szCs w:val="20"/>
          <w:color w:val="auto"/>
        </w:rPr>
      </w:pPr>
      <w:r>
        <w:rPr>
          <w:rFonts w:ascii="Times New Roman" w:cs="Times New Roman" w:eastAsia="Times New Roman" w:hAnsi="Times New Roman"/>
          <w:sz w:val="24"/>
          <w:szCs w:val="24"/>
          <w:b w:val="1"/>
          <w:bCs w:val="1"/>
          <w:color w:val="auto"/>
        </w:rPr>
        <w:t>Agenda Action:</w:t>
      </w:r>
      <w:r>
        <w:rPr>
          <w:sz w:val="20"/>
          <w:szCs w:val="20"/>
          <w:color w:val="auto"/>
        </w:rPr>
        <w:tab/>
      </w:r>
      <w:r>
        <w:rPr>
          <w:rFonts w:ascii="Times New Roman" w:cs="Times New Roman" w:eastAsia="Times New Roman" w:hAnsi="Times New Roman"/>
          <w:sz w:val="24"/>
          <w:szCs w:val="24"/>
          <w:color w:val="auto"/>
        </w:rPr>
        <w:t>Formal Action / Motion</w:t>
      </w:r>
      <w:r>
        <w:rPr>
          <w:sz w:val="20"/>
          <w:szCs w:val="20"/>
          <w:color w:val="auto"/>
        </w:rPr>
        <w:tab/>
      </w:r>
      <w:r>
        <w:rPr>
          <w:rFonts w:ascii="Times New Roman" w:cs="Times New Roman" w:eastAsia="Times New Roman" w:hAnsi="Times New Roman"/>
          <w:sz w:val="24"/>
          <w:szCs w:val="24"/>
          <w:b w:val="1"/>
          <w:bCs w:val="1"/>
          <w:color w:val="auto"/>
        </w:rPr>
        <w:t>Time Requested:</w:t>
      </w:r>
      <w:r>
        <w:rPr>
          <w:sz w:val="20"/>
          <w:szCs w:val="20"/>
          <w:color w:val="auto"/>
        </w:rPr>
        <w:tab/>
      </w:r>
      <w:r>
        <w:rPr>
          <w:rFonts w:ascii="Times New Roman" w:cs="Times New Roman" w:eastAsia="Times New Roman" w:hAnsi="Times New Roman"/>
          <w:sz w:val="23"/>
          <w:szCs w:val="23"/>
          <w:color w:val="auto"/>
        </w:rPr>
        <w:t>Consent</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0</wp:posOffset>
            </wp:positionH>
            <wp:positionV relativeFrom="paragraph">
              <wp:posOffset>247650</wp:posOffset>
            </wp:positionV>
            <wp:extent cx="6362700" cy="304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extLst>
                    </a:blip>
                    <a:srcRect/>
                    <a:stretch>
                      <a:fillRect/>
                    </a:stretch>
                  </pic:blipFill>
                  <pic:spPr bwMode="auto">
                    <a:xfrm>
                      <a:off x="0" y="0"/>
                      <a:ext cx="6362700" cy="30480"/>
                    </a:xfrm>
                    <a:prstGeom prst="rect">
                      <a:avLst/>
                    </a:prstGeom>
                    <a:noFill/>
                  </pic:spPr>
                </pic:pic>
              </a:graphicData>
            </a:graphic>
          </wp:anchor>
        </w:drawing>
      </w:r>
    </w:p>
    <w:p>
      <w:pPr>
        <w:spacing w:after="0" w:line="200" w:lineRule="exact"/>
        <w:rPr>
          <w:sz w:val="24"/>
          <w:szCs w:val="24"/>
          <w:color w:val="auto"/>
        </w:rPr>
      </w:pPr>
    </w:p>
    <w:p>
      <w:pPr>
        <w:spacing w:after="0" w:line="200" w:lineRule="exact"/>
        <w:rPr>
          <w:sz w:val="24"/>
          <w:szCs w:val="24"/>
          <w:color w:val="auto"/>
        </w:rPr>
      </w:pPr>
    </w:p>
    <w:p>
      <w:pPr>
        <w:spacing w:after="0" w:line="228"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Proposed Motion</w:t>
      </w:r>
    </w:p>
    <w:p>
      <w:pPr>
        <w:spacing w:after="0" w:line="32"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color w:val="auto"/>
        </w:rPr>
        <w:t>I move to approve the Contract as presented.</w:t>
      </w:r>
    </w:p>
    <w:p>
      <w:pPr>
        <w:spacing w:after="0" w:line="208"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Board's Strategic Goal</w:t>
      </w:r>
    </w:p>
    <w:p>
      <w:pPr>
        <w:spacing w:after="0" w:line="32"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color w:val="auto"/>
        </w:rPr>
        <w:t>Efficient Government</w:t>
      </w:r>
    </w:p>
    <w:p>
      <w:pPr>
        <w:spacing w:after="0" w:line="208"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Previous Action</w:t>
      </w:r>
    </w:p>
    <w:p>
      <w:pPr>
        <w:spacing w:after="0" w:line="32" w:lineRule="exact"/>
        <w:rPr>
          <w:sz w:val="24"/>
          <w:szCs w:val="24"/>
          <w:color w:val="auto"/>
        </w:rPr>
      </w:pPr>
    </w:p>
    <w:p>
      <w:pPr>
        <w:ind w:right="240"/>
        <w:spacing w:after="0" w:line="248" w:lineRule="auto"/>
        <w:rPr>
          <w:sz w:val="20"/>
          <w:szCs w:val="20"/>
          <w:color w:val="auto"/>
        </w:rPr>
      </w:pPr>
      <w:r>
        <w:rPr>
          <w:rFonts w:ascii="Times New Roman" w:cs="Times New Roman" w:eastAsia="Times New Roman" w:hAnsi="Times New Roman"/>
          <w:sz w:val="24"/>
          <w:szCs w:val="24"/>
          <w:color w:val="auto"/>
        </w:rPr>
        <w:t>June 20, 2025 (Item 14.G) – The Board of Supervisors approved Contract No. 26300003 with Empire Southwest, LLC, for FY 2026 for $150,000.</w:t>
      </w:r>
    </w:p>
    <w:p>
      <w:pPr>
        <w:spacing w:after="0" w:line="190"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Background/Issues &amp; Analysis</w:t>
      </w:r>
    </w:p>
    <w:p>
      <w:pPr>
        <w:spacing w:after="0" w:line="32" w:lineRule="exact"/>
        <w:rPr>
          <w:sz w:val="24"/>
          <w:szCs w:val="24"/>
          <w:color w:val="auto"/>
        </w:rPr>
      </w:pPr>
    </w:p>
    <w:p>
      <w:pPr>
        <w:ind w:right="20"/>
        <w:spacing w:after="0" w:line="242" w:lineRule="auto"/>
        <w:rPr>
          <w:sz w:val="20"/>
          <w:szCs w:val="20"/>
          <w:color w:val="auto"/>
        </w:rPr>
      </w:pPr>
      <w:r>
        <w:rPr>
          <w:rFonts w:ascii="Times New Roman" w:cs="Times New Roman" w:eastAsia="Times New Roman" w:hAnsi="Times New Roman"/>
          <w:sz w:val="24"/>
          <w:szCs w:val="24"/>
          <w:color w:val="auto"/>
        </w:rPr>
        <w:t>The Landfill operates seven pieces of Caterpillar brand heavy equipment and five other brands of heavy equipment that require repair and maintenance throughout any given year. One piece of equipment is still under warranty and does not fall under the Contract. Empire is the only authorized service provider with access to Caterpillar’s proprietary diagnostic equipment; therefore, Empire performs most of the repairs and maintenance on the Landfill’s heavy equipment.</w:t>
      </w:r>
    </w:p>
    <w:p>
      <w:pPr>
        <w:spacing w:after="0" w:line="239" w:lineRule="exact"/>
        <w:rPr>
          <w:sz w:val="24"/>
          <w:szCs w:val="24"/>
          <w:color w:val="auto"/>
        </w:rPr>
      </w:pPr>
    </w:p>
    <w:p>
      <w:pPr>
        <w:spacing w:after="0" w:line="246" w:lineRule="auto"/>
        <w:rPr>
          <w:sz w:val="20"/>
          <w:szCs w:val="20"/>
          <w:color w:val="auto"/>
        </w:rPr>
      </w:pPr>
      <w:r>
        <w:rPr>
          <w:rFonts w:ascii="Times New Roman" w:cs="Times New Roman" w:eastAsia="Times New Roman" w:hAnsi="Times New Roman"/>
          <w:sz w:val="24"/>
          <w:szCs w:val="24"/>
          <w:color w:val="auto"/>
        </w:rPr>
        <w:t>The Landfill continues to see increases in daily customers, meaning Landfill equipment is working longer and harder, which increases the potential for damage due to the continuous bombardment of debris (metals, hard plastics, mattresses, concrete, wood products, etc.). Further, repair and maintenance expenses are not just a function of the environment; equipment hours and age are also factors. Progress is being made on replacing older equipment; however, in the interim, as the Landfill’s equipment ages, repair frequency is anticipated to increase.</w:t>
      </w:r>
    </w:p>
    <w:p>
      <w:pPr>
        <w:spacing w:after="0" w:line="235" w:lineRule="exact"/>
        <w:rPr>
          <w:sz w:val="24"/>
          <w:szCs w:val="24"/>
          <w:color w:val="auto"/>
        </w:rPr>
      </w:pPr>
    </w:p>
    <w:p>
      <w:pPr>
        <w:ind w:right="140"/>
        <w:spacing w:after="0" w:line="271" w:lineRule="auto"/>
        <w:rPr>
          <w:sz w:val="20"/>
          <w:szCs w:val="20"/>
          <w:color w:val="auto"/>
        </w:rPr>
      </w:pPr>
      <w:r>
        <w:rPr>
          <w:rFonts w:ascii="Times New Roman" w:cs="Times New Roman" w:eastAsia="Times New Roman" w:hAnsi="Times New Roman"/>
          <w:sz w:val="24"/>
          <w:szCs w:val="24"/>
          <w:color w:val="auto"/>
        </w:rPr>
        <w:t>This is an annual request. The Board of Supervisors approved similar contracts for FY 2023, FY 2024, FY 2025, and FY 2026 for $150,000.</w:t>
      </w:r>
    </w:p>
    <w:p>
      <w:pPr>
        <w:spacing w:after="0" w:line="205"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color w:val="auto"/>
        </w:rPr>
        <w:t>Should it be determined later in FY 2027 that the Landfill’s repair and maintenance needs can be met</w:t>
      </w:r>
    </w:p>
    <w:p>
      <w:pPr>
        <w:sectPr>
          <w:pgSz w:w="12240" w:h="15840" w:orient="portrait"/>
          <w:cols w:equalWidth="0" w:num="1">
            <w:col w:w="10000"/>
          </w:cols>
          <w:pgMar w:left="1080" w:top="831" w:right="1160" w:bottom="728" w:gutter="0" w:footer="0" w:header="0"/>
          <w:type w:val="continuous"/>
        </w:sectPr>
      </w:pPr>
    </w:p>
    <w:p>
      <w:pPr>
        <w:ind w:right="120"/>
        <w:spacing w:after="0" w:line="271" w:lineRule="auto"/>
        <w:rPr>
          <w:sz w:val="20"/>
          <w:szCs w:val="20"/>
          <w:color w:val="auto"/>
        </w:rPr>
      </w:pPr>
      <w:r>
        <w:rPr>
          <w:rFonts w:ascii="Times New Roman" w:cs="Times New Roman" w:eastAsia="Times New Roman" w:hAnsi="Times New Roman"/>
          <w:sz w:val="24"/>
          <w:szCs w:val="24"/>
          <w:color w:val="auto"/>
        </w:rPr>
        <w:t>without expending the full not to exceed amount of $175,000, those unused funds will be allocated to other operational needs at the Landfill.</w:t>
      </w:r>
    </w:p>
    <w:p>
      <w:pPr>
        <w:spacing w:after="0" w:line="163" w:lineRule="exact"/>
        <w:rPr>
          <w:sz w:val="20"/>
          <w:szCs w:val="20"/>
          <w:color w:val="auto"/>
        </w:rPr>
      </w:pPr>
    </w:p>
    <w:p>
      <w:pPr>
        <w:ind w:right="4480"/>
        <w:spacing w:after="0" w:line="276" w:lineRule="auto"/>
        <w:rPr>
          <w:sz w:val="20"/>
          <w:szCs w:val="20"/>
          <w:color w:val="auto"/>
        </w:rPr>
      </w:pPr>
      <w:r>
        <w:rPr>
          <w:rFonts w:ascii="Times New Roman" w:cs="Times New Roman" w:eastAsia="Times New Roman" w:hAnsi="Times New Roman"/>
          <w:sz w:val="24"/>
          <w:szCs w:val="24"/>
          <w:b w:val="1"/>
          <w:bCs w:val="1"/>
          <w:u w:val="single" w:color="auto"/>
          <w:color w:val="auto"/>
        </w:rPr>
        <w:t xml:space="preserve">Applicable Statute, Code, Policy, Rule or Regulation </w:t>
      </w:r>
      <w:r>
        <w:rPr>
          <w:rFonts w:ascii="Times New Roman" w:cs="Times New Roman" w:eastAsia="Times New Roman" w:hAnsi="Times New Roman"/>
          <w:sz w:val="24"/>
          <w:szCs w:val="24"/>
          <w:color w:val="auto"/>
        </w:rPr>
        <w:t>NRS 332.115</w:t>
      </w:r>
    </w:p>
    <w:p>
      <w:pPr>
        <w:spacing w:after="0" w:line="157"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Financial Information</w:t>
      </w:r>
    </w:p>
    <w:p>
      <w:pPr>
        <w:spacing w:after="0" w:line="32" w:lineRule="exact"/>
        <w:rPr>
          <w:sz w:val="20"/>
          <w:szCs w:val="20"/>
          <w:color w:val="auto"/>
        </w:rPr>
      </w:pPr>
    </w:p>
    <w:p>
      <w:pPr>
        <w:spacing w:after="0"/>
        <w:tabs>
          <w:tab w:leader="none" w:pos="2660" w:val="left"/>
        </w:tabs>
        <w:rPr>
          <w:sz w:val="20"/>
          <w:szCs w:val="20"/>
          <w:color w:val="auto"/>
        </w:rPr>
      </w:pPr>
      <w:r>
        <w:rPr>
          <w:rFonts w:ascii="Times New Roman" w:cs="Times New Roman" w:eastAsia="Times New Roman" w:hAnsi="Times New Roman"/>
          <w:sz w:val="24"/>
          <w:szCs w:val="24"/>
          <w:b w:val="1"/>
          <w:bCs w:val="1"/>
          <w:color w:val="auto"/>
        </w:rPr>
        <w:t>Is there a fiscal impact?</w:t>
      </w:r>
      <w:r>
        <w:rPr>
          <w:sz w:val="20"/>
          <w:szCs w:val="20"/>
          <w:color w:val="auto"/>
        </w:rPr>
        <w:tab/>
      </w:r>
      <w:r>
        <w:rPr>
          <w:rFonts w:ascii="Times New Roman" w:cs="Times New Roman" w:eastAsia="Times New Roman" w:hAnsi="Times New Roman"/>
          <w:sz w:val="23"/>
          <w:szCs w:val="23"/>
          <w:color w:val="auto"/>
        </w:rPr>
        <w:t>Yes</w:t>
      </w:r>
    </w:p>
    <w:p>
      <w:pPr>
        <w:spacing w:after="0" w:line="208" w:lineRule="exact"/>
        <w:rPr>
          <w:sz w:val="20"/>
          <w:szCs w:val="20"/>
          <w:color w:val="auto"/>
        </w:rPr>
      </w:pPr>
    </w:p>
    <w:p>
      <w:pPr>
        <w:ind w:right="160"/>
        <w:spacing w:after="0" w:line="276" w:lineRule="auto"/>
        <w:rPr>
          <w:sz w:val="20"/>
          <w:szCs w:val="20"/>
          <w:color w:val="auto"/>
        </w:rPr>
      </w:pPr>
      <w:r>
        <w:rPr>
          <w:rFonts w:ascii="Times New Roman" w:cs="Times New Roman" w:eastAsia="Times New Roman" w:hAnsi="Times New Roman"/>
          <w:sz w:val="24"/>
          <w:szCs w:val="24"/>
          <w:b w:val="1"/>
          <w:bCs w:val="1"/>
          <w:color w:val="auto"/>
        </w:rPr>
        <w:t>If yes, account name/number:</w:t>
      </w:r>
      <w:r>
        <w:rPr>
          <w:rFonts w:ascii="Times New Roman" w:cs="Times New Roman" w:eastAsia="Times New Roman" w:hAnsi="Times New Roman"/>
          <w:sz w:val="24"/>
          <w:szCs w:val="24"/>
          <w:color w:val="auto"/>
        </w:rPr>
        <w:t xml:space="preserve"> General Fund Landfill Equipment Repair &amp; Maintenance account - 1013904-500430</w:t>
      </w:r>
    </w:p>
    <w:p>
      <w:pPr>
        <w:spacing w:after="0" w:line="157"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b w:val="1"/>
          <w:bCs w:val="1"/>
          <w:color w:val="auto"/>
        </w:rPr>
        <w:t>Is it currently budgeted?</w:t>
      </w:r>
      <w:r>
        <w:rPr>
          <w:rFonts w:ascii="Times New Roman" w:cs="Times New Roman" w:eastAsia="Times New Roman" w:hAnsi="Times New Roman"/>
          <w:sz w:val="24"/>
          <w:szCs w:val="24"/>
          <w:color w:val="auto"/>
        </w:rPr>
        <w:t xml:space="preserve">  Yes</w:t>
      </w:r>
    </w:p>
    <w:p>
      <w:pPr>
        <w:spacing w:after="0" w:line="240" w:lineRule="exact"/>
        <w:rPr>
          <w:sz w:val="20"/>
          <w:szCs w:val="20"/>
          <w:color w:val="auto"/>
        </w:rPr>
      </w:pPr>
    </w:p>
    <w:p>
      <w:pPr>
        <w:jc w:val="both"/>
        <w:spacing w:after="0" w:line="258" w:lineRule="auto"/>
        <w:rPr>
          <w:sz w:val="20"/>
          <w:szCs w:val="20"/>
          <w:color w:val="auto"/>
        </w:rPr>
      </w:pPr>
      <w:r>
        <w:rPr>
          <w:rFonts w:ascii="Times New Roman" w:cs="Times New Roman" w:eastAsia="Times New Roman" w:hAnsi="Times New Roman"/>
          <w:sz w:val="24"/>
          <w:szCs w:val="24"/>
          <w:b w:val="1"/>
          <w:bCs w:val="1"/>
          <w:color w:val="auto"/>
        </w:rPr>
        <w:t>Explanation of Fiscal Impact:</w:t>
      </w:r>
      <w:r>
        <w:rPr>
          <w:rFonts w:ascii="Times New Roman" w:cs="Times New Roman" w:eastAsia="Times New Roman" w:hAnsi="Times New Roman"/>
          <w:sz w:val="24"/>
          <w:szCs w:val="24"/>
          <w:color w:val="auto"/>
        </w:rPr>
        <w:t xml:space="preserve"> If approved, the FY 2027 Landfill Equipment Repair &amp; Maintenance account 1013904-500430 will be decreased by an amount not to exceed $175,000; FY 2027 Budget is $325,000.</w:t>
      </w:r>
    </w:p>
    <w:p>
      <w:pPr>
        <w:spacing w:after="0" w:line="178"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Alternatives</w:t>
      </w:r>
    </w:p>
    <w:p>
      <w:pPr>
        <w:spacing w:after="0" w:line="32"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Do not approve the Contract and/or provide alternative direction to staff.</w:t>
      </w:r>
    </w:p>
    <w:p>
      <w:pPr>
        <w:spacing w:after="0" w:line="208"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Attachment(s):</w:t>
      </w:r>
    </w:p>
    <w:p>
      <w:pPr>
        <w:spacing w:after="0" w:line="32" w:lineRule="exact"/>
        <w:rPr>
          <w:sz w:val="20"/>
          <w:szCs w:val="20"/>
          <w:color w:val="auto"/>
        </w:rPr>
      </w:pPr>
    </w:p>
    <w:p>
      <w:pPr>
        <w:spacing w:after="0"/>
        <w:rPr>
          <w:rFonts w:ascii="Times New Roman" w:cs="Times New Roman" w:eastAsia="Times New Roman" w:hAnsi="Times New Roman"/>
          <w:sz w:val="24"/>
          <w:szCs w:val="24"/>
          <w:color w:val="0000EE"/>
        </w:rPr>
      </w:pPr>
      <w:hyperlink r:id="rId14">
        <w:r>
          <w:rPr>
            <w:rFonts w:ascii="Times New Roman" w:cs="Times New Roman" w:eastAsia="Times New Roman" w:hAnsi="Times New Roman"/>
            <w:sz w:val="24"/>
            <w:szCs w:val="24"/>
            <w:color w:val="0000EE"/>
          </w:rPr>
          <w:t>27300003 Draft Contract.pdf</w:t>
        </w:r>
      </w:hyperlink>
    </w:p>
    <w:p>
      <w:pPr>
        <w:spacing w:after="0" w:line="200" w:lineRule="exact"/>
        <w:rPr>
          <w:sz w:val="20"/>
          <w:szCs w:val="20"/>
          <w:color w:val="auto"/>
        </w:rPr>
      </w:pPr>
    </w:p>
    <w:p>
      <w:pPr>
        <w:spacing w:after="0" w:line="290" w:lineRule="exact"/>
        <w:rPr>
          <w:sz w:val="20"/>
          <w:szCs w:val="20"/>
          <w:color w:val="auto"/>
        </w:rPr>
      </w:pPr>
    </w:p>
    <w:tbl>
      <w:tblPr>
        <w:tblLayout w:type="fixed"/>
        <w:tblInd w:w="0" w:type="dxa"/>
        <w:tblCellMar>
          <w:top w:w="0" w:type="dxa"/>
          <w:left w:w="0" w:type="dxa"/>
          <w:bottom w:w="0" w:type="dxa"/>
          <w:right w:w="0" w:type="dxa"/>
        </w:tblCellMar>
      </w:tblPr>
      <w:tr>
        <w:trPr>
          <w:trHeight w:val="276"/>
        </w:trPr>
        <w:tc>
          <w:tcPr>
            <w:tcW w:w="3820" w:type="dxa"/>
            <w:vAlign w:val="bottom"/>
          </w:tcPr>
          <w:p>
            <w:pPr>
              <w:spacing w:after="0"/>
              <w:rPr>
                <w:sz w:val="20"/>
                <w:szCs w:val="20"/>
                <w:color w:val="auto"/>
              </w:rPr>
            </w:pPr>
            <w:r>
              <w:rPr>
                <w:rFonts w:ascii="Times New Roman" w:cs="Times New Roman" w:eastAsia="Times New Roman" w:hAnsi="Times New Roman"/>
                <w:sz w:val="24"/>
                <w:szCs w:val="24"/>
                <w:color w:val="auto"/>
              </w:rPr>
              <w:t>Motion: _________________</w:t>
            </w:r>
          </w:p>
        </w:tc>
        <w:tc>
          <w:tcPr>
            <w:tcW w:w="2720" w:type="dxa"/>
            <w:vAlign w:val="bottom"/>
          </w:tcPr>
          <w:p>
            <w:pPr>
              <w:jc w:val="right"/>
              <w:ind w:right="320"/>
              <w:spacing w:after="0"/>
              <w:rPr>
                <w:sz w:val="20"/>
                <w:szCs w:val="20"/>
                <w:color w:val="auto"/>
              </w:rPr>
            </w:pPr>
            <w:r>
              <w:rPr>
                <w:rFonts w:ascii="Times New Roman" w:cs="Times New Roman" w:eastAsia="Times New Roman" w:hAnsi="Times New Roman"/>
                <w:sz w:val="24"/>
                <w:szCs w:val="24"/>
                <w:color w:val="auto"/>
              </w:rPr>
              <w:t>1) ________________</w:t>
            </w: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rPr>
              <w:t>Aye/Nay</w:t>
            </w:r>
          </w:p>
        </w:tc>
        <w:tc>
          <w:tcPr>
            <w:tcW w:w="0" w:type="dxa"/>
            <w:vAlign w:val="bottom"/>
          </w:tcPr>
          <w:p>
            <w:pPr>
              <w:spacing w:after="0"/>
              <w:rPr>
                <w:sz w:val="1"/>
                <w:szCs w:val="1"/>
                <w:color w:val="auto"/>
              </w:rPr>
            </w:pPr>
          </w:p>
        </w:tc>
      </w:tr>
      <w:tr>
        <w:trPr>
          <w:trHeight w:val="276"/>
        </w:trPr>
        <w:tc>
          <w:tcPr>
            <w:tcW w:w="3820" w:type="dxa"/>
            <w:vAlign w:val="bottom"/>
          </w:tcPr>
          <w:p>
            <w:pPr>
              <w:spacing w:after="0"/>
              <w:rPr>
                <w:sz w:val="24"/>
                <w:szCs w:val="24"/>
                <w:color w:val="auto"/>
              </w:rPr>
            </w:pPr>
          </w:p>
        </w:tc>
        <w:tc>
          <w:tcPr>
            <w:tcW w:w="2720" w:type="dxa"/>
            <w:vAlign w:val="bottom"/>
          </w:tcPr>
          <w:p>
            <w:pPr>
              <w:jc w:val="right"/>
              <w:ind w:right="320"/>
              <w:spacing w:after="0"/>
              <w:rPr>
                <w:sz w:val="20"/>
                <w:szCs w:val="20"/>
                <w:color w:val="auto"/>
              </w:rPr>
            </w:pPr>
            <w:r>
              <w:rPr>
                <w:rFonts w:ascii="Times New Roman" w:cs="Times New Roman" w:eastAsia="Times New Roman" w:hAnsi="Times New Roman"/>
                <w:sz w:val="24"/>
                <w:szCs w:val="24"/>
                <w:color w:val="auto"/>
              </w:rPr>
              <w:t>2) ________________</w:t>
            </w: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w w:val="98"/>
              </w:rPr>
              <w:t>__________</w:t>
            </w:r>
          </w:p>
        </w:tc>
        <w:tc>
          <w:tcPr>
            <w:tcW w:w="0" w:type="dxa"/>
            <w:vAlign w:val="bottom"/>
          </w:tcPr>
          <w:p>
            <w:pPr>
              <w:spacing w:after="0"/>
              <w:rPr>
                <w:sz w:val="1"/>
                <w:szCs w:val="1"/>
                <w:color w:val="auto"/>
              </w:rPr>
            </w:pPr>
          </w:p>
        </w:tc>
      </w:tr>
      <w:tr>
        <w:trPr>
          <w:trHeight w:val="276"/>
        </w:trPr>
        <w:tc>
          <w:tcPr>
            <w:tcW w:w="3820" w:type="dxa"/>
            <w:vAlign w:val="bottom"/>
          </w:tcPr>
          <w:p>
            <w:pPr>
              <w:spacing w:after="0"/>
              <w:rPr>
                <w:sz w:val="24"/>
                <w:szCs w:val="24"/>
                <w:color w:val="auto"/>
              </w:rPr>
            </w:pPr>
          </w:p>
        </w:tc>
        <w:tc>
          <w:tcPr>
            <w:tcW w:w="2720" w:type="dxa"/>
            <w:vAlign w:val="bottom"/>
          </w:tcPr>
          <w:p>
            <w:pPr>
              <w:spacing w:after="0"/>
              <w:rPr>
                <w:sz w:val="24"/>
                <w:szCs w:val="24"/>
                <w:color w:val="auto"/>
              </w:rPr>
            </w:pP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w w:val="98"/>
              </w:rPr>
              <w:t>__________</w:t>
            </w:r>
          </w:p>
        </w:tc>
        <w:tc>
          <w:tcPr>
            <w:tcW w:w="0" w:type="dxa"/>
            <w:vAlign w:val="bottom"/>
          </w:tcPr>
          <w:p>
            <w:pPr>
              <w:spacing w:after="0"/>
              <w:rPr>
                <w:sz w:val="1"/>
                <w:szCs w:val="1"/>
                <w:color w:val="auto"/>
              </w:rPr>
            </w:pPr>
          </w:p>
        </w:tc>
      </w:tr>
      <w:tr>
        <w:trPr>
          <w:trHeight w:val="276"/>
        </w:trPr>
        <w:tc>
          <w:tcPr>
            <w:tcW w:w="3820" w:type="dxa"/>
            <w:vAlign w:val="bottom"/>
          </w:tcPr>
          <w:p>
            <w:pPr>
              <w:spacing w:after="0"/>
              <w:rPr>
                <w:sz w:val="24"/>
                <w:szCs w:val="24"/>
                <w:color w:val="auto"/>
              </w:rPr>
            </w:pPr>
          </w:p>
        </w:tc>
        <w:tc>
          <w:tcPr>
            <w:tcW w:w="2720" w:type="dxa"/>
            <w:vAlign w:val="bottom"/>
          </w:tcPr>
          <w:p>
            <w:pPr>
              <w:spacing w:after="0"/>
              <w:rPr>
                <w:sz w:val="24"/>
                <w:szCs w:val="24"/>
                <w:color w:val="auto"/>
              </w:rPr>
            </w:pP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w w:val="98"/>
              </w:rPr>
              <w:t>__________</w:t>
            </w:r>
          </w:p>
        </w:tc>
        <w:tc>
          <w:tcPr>
            <w:tcW w:w="0" w:type="dxa"/>
            <w:vAlign w:val="bottom"/>
          </w:tcPr>
          <w:p>
            <w:pPr>
              <w:spacing w:after="0"/>
              <w:rPr>
                <w:sz w:val="1"/>
                <w:szCs w:val="1"/>
                <w:color w:val="auto"/>
              </w:rPr>
            </w:pPr>
          </w:p>
        </w:tc>
      </w:tr>
      <w:tr>
        <w:trPr>
          <w:trHeight w:val="276"/>
        </w:trPr>
        <w:tc>
          <w:tcPr>
            <w:tcW w:w="3820" w:type="dxa"/>
            <w:vAlign w:val="bottom"/>
          </w:tcPr>
          <w:p>
            <w:pPr>
              <w:spacing w:after="0"/>
              <w:rPr>
                <w:sz w:val="24"/>
                <w:szCs w:val="24"/>
                <w:color w:val="auto"/>
              </w:rPr>
            </w:pPr>
          </w:p>
        </w:tc>
        <w:tc>
          <w:tcPr>
            <w:tcW w:w="2720" w:type="dxa"/>
            <w:vAlign w:val="bottom"/>
          </w:tcPr>
          <w:p>
            <w:pPr>
              <w:spacing w:after="0"/>
              <w:rPr>
                <w:sz w:val="24"/>
                <w:szCs w:val="24"/>
                <w:color w:val="auto"/>
              </w:rPr>
            </w:pP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w w:val="98"/>
              </w:rPr>
              <w:t>__________</w:t>
            </w:r>
          </w:p>
        </w:tc>
        <w:tc>
          <w:tcPr>
            <w:tcW w:w="0" w:type="dxa"/>
            <w:vAlign w:val="bottom"/>
          </w:tcPr>
          <w:p>
            <w:pPr>
              <w:spacing w:after="0"/>
              <w:rPr>
                <w:sz w:val="1"/>
                <w:szCs w:val="1"/>
                <w:color w:val="auto"/>
              </w:rPr>
            </w:pPr>
          </w:p>
        </w:tc>
      </w:tr>
      <w:tr>
        <w:trPr>
          <w:trHeight w:val="312"/>
        </w:trPr>
        <w:tc>
          <w:tcPr>
            <w:tcW w:w="3820" w:type="dxa"/>
            <w:vAlign w:val="bottom"/>
            <w:vMerge w:val="restart"/>
          </w:tcPr>
          <w:p>
            <w:pPr>
              <w:jc w:val="right"/>
              <w:spacing w:after="0"/>
              <w:rPr>
                <w:sz w:val="20"/>
                <w:szCs w:val="20"/>
                <w:color w:val="auto"/>
              </w:rPr>
            </w:pPr>
            <w:r>
              <w:rPr>
                <w:rFonts w:ascii="Times New Roman" w:cs="Times New Roman" w:eastAsia="Times New Roman" w:hAnsi="Times New Roman"/>
                <w:sz w:val="24"/>
                <w:szCs w:val="24"/>
                <w:color w:val="auto"/>
              </w:rPr>
              <w:t>_____________________________</w:t>
            </w:r>
          </w:p>
        </w:tc>
        <w:tc>
          <w:tcPr>
            <w:tcW w:w="2720" w:type="dxa"/>
            <w:vAlign w:val="bottom"/>
          </w:tcPr>
          <w:p>
            <w:pPr>
              <w:spacing w:after="0"/>
              <w:rPr>
                <w:sz w:val="24"/>
                <w:szCs w:val="24"/>
                <w:color w:val="auto"/>
              </w:rPr>
            </w:pP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w w:val="98"/>
              </w:rPr>
              <w:t>__________</w:t>
            </w:r>
          </w:p>
        </w:tc>
        <w:tc>
          <w:tcPr>
            <w:tcW w:w="0" w:type="dxa"/>
            <w:vAlign w:val="bottom"/>
          </w:tcPr>
          <w:p>
            <w:pPr>
              <w:spacing w:after="0"/>
              <w:rPr>
                <w:sz w:val="1"/>
                <w:szCs w:val="1"/>
                <w:color w:val="auto"/>
              </w:rPr>
            </w:pPr>
          </w:p>
        </w:tc>
      </w:tr>
      <w:tr>
        <w:trPr>
          <w:trHeight w:val="240"/>
        </w:trPr>
        <w:tc>
          <w:tcPr>
            <w:tcW w:w="3820" w:type="dxa"/>
            <w:vAlign w:val="bottom"/>
            <w:vMerge w:val="continue"/>
          </w:tcPr>
          <w:p>
            <w:pPr>
              <w:spacing w:after="0"/>
              <w:rPr>
                <w:sz w:val="20"/>
                <w:szCs w:val="20"/>
                <w:color w:val="auto"/>
              </w:rPr>
            </w:pPr>
          </w:p>
        </w:tc>
        <w:tc>
          <w:tcPr>
            <w:tcW w:w="2720" w:type="dxa"/>
            <w:vAlign w:val="bottom"/>
          </w:tcPr>
          <w:p>
            <w:pPr>
              <w:spacing w:after="0"/>
              <w:rPr>
                <w:sz w:val="20"/>
                <w:szCs w:val="20"/>
                <w:color w:val="auto"/>
              </w:rPr>
            </w:pPr>
          </w:p>
        </w:tc>
        <w:tc>
          <w:tcPr>
            <w:tcW w:w="1680" w:type="dxa"/>
            <w:vAlign w:val="bottom"/>
          </w:tcPr>
          <w:p>
            <w:pPr>
              <w:spacing w:after="0"/>
              <w:rPr>
                <w:sz w:val="20"/>
                <w:szCs w:val="20"/>
                <w:color w:val="auto"/>
              </w:rPr>
            </w:pPr>
          </w:p>
        </w:tc>
        <w:tc>
          <w:tcPr>
            <w:tcW w:w="0" w:type="dxa"/>
            <w:vAlign w:val="bottom"/>
          </w:tcPr>
          <w:p>
            <w:pPr>
              <w:spacing w:after="0"/>
              <w:rPr>
                <w:sz w:val="1"/>
                <w:szCs w:val="1"/>
                <w:color w:val="auto"/>
              </w:rPr>
            </w:pPr>
          </w:p>
        </w:tc>
      </w:tr>
      <w:tr>
        <w:trPr>
          <w:trHeight w:val="312"/>
        </w:trPr>
        <w:tc>
          <w:tcPr>
            <w:tcW w:w="3820" w:type="dxa"/>
            <w:vAlign w:val="bottom"/>
          </w:tcPr>
          <w:p>
            <w:pPr>
              <w:jc w:val="center"/>
              <w:ind w:left="60"/>
              <w:spacing w:after="0"/>
              <w:rPr>
                <w:sz w:val="20"/>
                <w:szCs w:val="20"/>
                <w:color w:val="auto"/>
              </w:rPr>
            </w:pPr>
            <w:r>
              <w:rPr>
                <w:rFonts w:ascii="Times New Roman" w:cs="Times New Roman" w:eastAsia="Times New Roman" w:hAnsi="Times New Roman"/>
                <w:sz w:val="24"/>
                <w:szCs w:val="24"/>
                <w:color w:val="auto"/>
              </w:rPr>
              <w:t>(Vote Recorded By)</w:t>
            </w:r>
          </w:p>
        </w:tc>
        <w:tc>
          <w:tcPr>
            <w:tcW w:w="2720" w:type="dxa"/>
            <w:vAlign w:val="bottom"/>
          </w:tcPr>
          <w:p>
            <w:pPr>
              <w:spacing w:after="0"/>
              <w:rPr>
                <w:sz w:val="24"/>
                <w:szCs w:val="24"/>
                <w:color w:val="auto"/>
              </w:rPr>
            </w:pPr>
          </w:p>
        </w:tc>
        <w:tc>
          <w:tcPr>
            <w:tcW w:w="1680" w:type="dxa"/>
            <w:vAlign w:val="bottom"/>
          </w:tcPr>
          <w:p>
            <w:pPr>
              <w:spacing w:after="0"/>
              <w:rPr>
                <w:sz w:val="24"/>
                <w:szCs w:val="24"/>
                <w:color w:val="auto"/>
              </w:rPr>
            </w:pPr>
          </w:p>
        </w:tc>
        <w:tc>
          <w:tcPr>
            <w:tcW w:w="0" w:type="dxa"/>
            <w:vAlign w:val="bottom"/>
          </w:tcPr>
          <w:p>
            <w:pPr>
              <w:spacing w:after="0"/>
              <w:rPr>
                <w:sz w:val="1"/>
                <w:szCs w:val="1"/>
                <w:color w:val="auto"/>
              </w:rPr>
            </w:pPr>
          </w:p>
        </w:tc>
      </w:tr>
    </w:tbl>
    <w:p>
      <w:pPr>
        <w:spacing w:after="0" w:line="1" w:lineRule="exact"/>
        <w:rPr>
          <w:sz w:val="20"/>
          <w:szCs w:val="20"/>
          <w:color w:val="auto"/>
        </w:rPr>
      </w:pPr>
    </w:p>
    <w:sectPr>
      <w:pgSz w:w="12240" w:h="15840" w:orient="portrait"/>
      <w:cols w:equalWidth="0" w:num="1">
        <w:col w:w="9840"/>
      </w:cols>
      <w:pgMar w:left="1080" w:top="831" w:right="1320" w:bottom="1440" w:gutter="0" w:footer="0" w:header="0"/>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webSettings" Target="webSettings.xml"/><Relationship Id="rId12" Type="http://schemas.openxmlformats.org/officeDocument/2006/relationships/image" Target="media/image1.jpeg"/><Relationship Id="rId13" Type="http://schemas.openxmlformats.org/officeDocument/2006/relationships/image" Target="media/image2.png"/><Relationship Id="rId14" Type="http://schemas.openxmlformats.org/officeDocument/2006/relationships/hyperlink" Target="https://carsoncity.granicus.com/services/legistar/download/pdf/4203100/27300003_Draft_Contract.pdf" TargetMode="External"/></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2026-06-25T19:57:17Z</dcterms:created>
  <dcterms:modified xsi:type="dcterms:W3CDTF">2026-06-25T19:57:17Z</dcterms:modified>
</cp:coreProperties>
</file>