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jpeg" ContentType="image/jpeg"/>
  <Default Extension="png" ContentType="image/png"/>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xmlns:wps="http://schemas.microsoft.com/office/word/2010/wordprocessingShape">
  <w:body>
    <w:p>
      <w:pPr>
        <w:ind w:left="7860"/>
        <w:spacing w:after="0"/>
        <w:rPr>
          <w:sz w:val="20"/>
          <w:szCs w:val="20"/>
          <w:color w:val="auto"/>
        </w:rPr>
      </w:pPr>
      <w:r>
        <w:rPr>
          <w:rFonts w:ascii="Times New Roman" w:cs="Times New Roman" w:eastAsia="Times New Roman" w:hAnsi="Times New Roman"/>
          <w:sz w:val="23"/>
          <w:szCs w:val="23"/>
          <w:color w:val="auto"/>
        </w:rPr>
        <w:t>Agenda Item No: 11.b</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0</wp:posOffset>
            </wp:positionH>
            <wp:positionV relativeFrom="paragraph">
              <wp:posOffset>22225</wp:posOffset>
            </wp:positionV>
            <wp:extent cx="1234440" cy="92202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extLst>
                    </a:blip>
                    <a:srcRect/>
                    <a:stretch>
                      <a:fillRect/>
                    </a:stretch>
                  </pic:blipFill>
                  <pic:spPr bwMode="auto">
                    <a:xfrm>
                      <a:off x="0" y="0"/>
                      <a:ext cx="1234440" cy="922020"/>
                    </a:xfrm>
                    <a:prstGeom prst="rect">
                      <a:avLst/>
                    </a:prstGeom>
                    <a:noFill/>
                  </pic:spPr>
                </pic:pic>
              </a:graphicData>
            </a:graphic>
          </wp:anchor>
        </w:drawing>
      </w:r>
    </w:p>
    <w:p>
      <w:pPr>
        <w:spacing w:after="0" w:line="200" w:lineRule="exact"/>
        <w:rPr>
          <w:sz w:val="24"/>
          <w:szCs w:val="24"/>
          <w:color w:val="auto"/>
        </w:rPr>
      </w:pPr>
    </w:p>
    <w:p>
      <w:pPr>
        <w:spacing w:after="0" w:line="323" w:lineRule="exact"/>
        <w:rPr>
          <w:sz w:val="24"/>
          <w:szCs w:val="24"/>
          <w:color w:val="auto"/>
        </w:rPr>
      </w:pPr>
    </w:p>
    <w:p>
      <w:pPr>
        <w:ind w:left="2200"/>
        <w:spacing w:after="0"/>
        <w:rPr>
          <w:sz w:val="20"/>
          <w:szCs w:val="20"/>
          <w:color w:val="auto"/>
        </w:rPr>
      </w:pPr>
      <w:r>
        <w:rPr>
          <w:rFonts w:ascii="Times New Roman" w:cs="Times New Roman" w:eastAsia="Times New Roman" w:hAnsi="Times New Roman"/>
          <w:sz w:val="36"/>
          <w:szCs w:val="36"/>
          <w:b w:val="1"/>
          <w:bCs w:val="1"/>
          <w:color w:val="auto"/>
        </w:rPr>
        <w:t>STAFF REPORT</w:t>
      </w:r>
    </w:p>
    <w:p>
      <w:pPr>
        <w:sectPr>
          <w:pgSz w:w="12240" w:h="15840" w:orient="portrait"/>
          <w:cols w:equalWidth="0" w:num="1">
            <w:col w:w="10000"/>
          </w:cols>
          <w:pgMar w:left="1080" w:top="831" w:right="1160" w:bottom="974" w:gutter="0" w:footer="0" w:header="0"/>
        </w:sectPr>
      </w:pPr>
    </w:p>
    <w:p>
      <w:pPr>
        <w:spacing w:after="0" w:line="200" w:lineRule="exact"/>
        <w:rPr>
          <w:sz w:val="24"/>
          <w:szCs w:val="24"/>
          <w:color w:val="auto"/>
        </w:rPr>
      </w:pPr>
    </w:p>
    <w:p>
      <w:pPr>
        <w:spacing w:after="0" w:line="200" w:lineRule="exact"/>
        <w:rPr>
          <w:sz w:val="24"/>
          <w:szCs w:val="24"/>
          <w:color w:val="auto"/>
        </w:rPr>
      </w:pPr>
    </w:p>
    <w:p>
      <w:pPr>
        <w:spacing w:after="0" w:line="341" w:lineRule="exact"/>
        <w:rPr>
          <w:sz w:val="24"/>
          <w:szCs w:val="24"/>
          <w:color w:val="auto"/>
        </w:rPr>
      </w:pPr>
    </w:p>
    <w:p>
      <w:pPr>
        <w:spacing w:after="0"/>
        <w:rPr>
          <w:sz w:val="20"/>
          <w:szCs w:val="20"/>
          <w:color w:val="auto"/>
        </w:rPr>
      </w:pPr>
      <w:r>
        <w:rPr>
          <w:rFonts w:ascii="Times New Roman" w:cs="Times New Roman" w:eastAsia="Times New Roman" w:hAnsi="Times New Roman"/>
          <w:sz w:val="23"/>
          <w:szCs w:val="23"/>
          <w:b w:val="1"/>
          <w:bCs w:val="1"/>
          <w:color w:val="auto"/>
        </w:rPr>
        <w:t>Report To:</w:t>
      </w:r>
    </w:p>
    <w:p>
      <w:pPr>
        <w:spacing w:after="0" w:line="20" w:lineRule="exact"/>
        <w:rPr>
          <w:sz w:val="24"/>
          <w:szCs w:val="24"/>
          <w:color w:val="auto"/>
        </w:rPr>
      </w:pPr>
      <w:r>
        <w:rPr>
          <w:sz w:val="24"/>
          <w:szCs w:val="24"/>
          <w:color w:val="auto"/>
        </w:rPr>
        <w:br w:type="column"/>
      </w:r>
    </w:p>
    <w:p>
      <w:pPr>
        <w:spacing w:after="0" w:line="200" w:lineRule="exact"/>
        <w:rPr>
          <w:sz w:val="24"/>
          <w:szCs w:val="24"/>
          <w:color w:val="auto"/>
        </w:rPr>
      </w:pPr>
    </w:p>
    <w:p>
      <w:pPr>
        <w:spacing w:after="0" w:line="200" w:lineRule="exact"/>
        <w:rPr>
          <w:sz w:val="24"/>
          <w:szCs w:val="24"/>
          <w:color w:val="auto"/>
        </w:rPr>
      </w:pPr>
    </w:p>
    <w:p>
      <w:pPr>
        <w:spacing w:after="0" w:line="327" w:lineRule="exact"/>
        <w:rPr>
          <w:sz w:val="24"/>
          <w:szCs w:val="24"/>
          <w:color w:val="auto"/>
        </w:rPr>
      </w:pPr>
    </w:p>
    <w:p>
      <w:pPr>
        <w:spacing w:after="0"/>
        <w:rPr>
          <w:sz w:val="20"/>
          <w:szCs w:val="20"/>
          <w:color w:val="auto"/>
        </w:rPr>
      </w:pPr>
      <w:r>
        <w:rPr>
          <w:rFonts w:ascii="Times New Roman" w:cs="Times New Roman" w:eastAsia="Times New Roman" w:hAnsi="Times New Roman"/>
          <w:sz w:val="23"/>
          <w:szCs w:val="23"/>
          <w:color w:val="auto"/>
        </w:rPr>
        <w:t>Board of Supervisors</w:t>
      </w:r>
    </w:p>
    <w:p>
      <w:pPr>
        <w:spacing w:after="0" w:line="20" w:lineRule="exact"/>
        <w:rPr>
          <w:sz w:val="24"/>
          <w:szCs w:val="24"/>
          <w:color w:val="auto"/>
        </w:rPr>
      </w:pPr>
      <w:r>
        <w:rPr>
          <w:sz w:val="24"/>
          <w:szCs w:val="24"/>
          <w:color w:val="auto"/>
        </w:rPr>
        <w:br w:type="column"/>
      </w:r>
    </w:p>
    <w:p>
      <w:pPr>
        <w:spacing w:after="0" w:line="200" w:lineRule="exact"/>
        <w:rPr>
          <w:sz w:val="24"/>
          <w:szCs w:val="24"/>
          <w:color w:val="auto"/>
        </w:rPr>
      </w:pPr>
    </w:p>
    <w:p>
      <w:pPr>
        <w:spacing w:after="0" w:line="200" w:lineRule="exact"/>
        <w:rPr>
          <w:sz w:val="24"/>
          <w:szCs w:val="24"/>
          <w:color w:val="auto"/>
        </w:rPr>
      </w:pPr>
    </w:p>
    <w:p>
      <w:pPr>
        <w:spacing w:after="0" w:line="321" w:lineRule="exact"/>
        <w:rPr>
          <w:sz w:val="24"/>
          <w:szCs w:val="24"/>
          <w:color w:val="auto"/>
        </w:rPr>
      </w:pPr>
    </w:p>
    <w:p>
      <w:pPr>
        <w:spacing w:after="0"/>
        <w:rPr>
          <w:sz w:val="20"/>
          <w:szCs w:val="20"/>
          <w:color w:val="auto"/>
        </w:rPr>
      </w:pPr>
      <w:r>
        <w:rPr>
          <w:rFonts w:ascii="Times New Roman" w:cs="Times New Roman" w:eastAsia="Times New Roman" w:hAnsi="Times New Roman"/>
          <w:sz w:val="24"/>
          <w:szCs w:val="24"/>
          <w:b w:val="1"/>
          <w:bCs w:val="1"/>
          <w:color w:val="auto"/>
        </w:rPr>
        <w:t>Meeting Date:</w:t>
      </w:r>
    </w:p>
    <w:p>
      <w:pPr>
        <w:spacing w:after="0" w:line="20" w:lineRule="exact"/>
        <w:rPr>
          <w:sz w:val="24"/>
          <w:szCs w:val="24"/>
          <w:color w:val="auto"/>
        </w:rPr>
      </w:pPr>
      <w:r>
        <w:rPr>
          <w:sz w:val="24"/>
          <w:szCs w:val="24"/>
          <w:color w:val="auto"/>
        </w:rPr>
        <w:br w:type="column"/>
      </w:r>
    </w:p>
    <w:p>
      <w:pPr>
        <w:spacing w:after="0" w:line="200" w:lineRule="exact"/>
        <w:rPr>
          <w:sz w:val="24"/>
          <w:szCs w:val="24"/>
          <w:color w:val="auto"/>
        </w:rPr>
      </w:pPr>
    </w:p>
    <w:p>
      <w:pPr>
        <w:spacing w:after="0" w:line="200" w:lineRule="exact"/>
        <w:rPr>
          <w:sz w:val="24"/>
          <w:szCs w:val="24"/>
          <w:color w:val="auto"/>
        </w:rPr>
      </w:pPr>
    </w:p>
    <w:p>
      <w:pPr>
        <w:spacing w:after="0" w:line="327" w:lineRule="exact"/>
        <w:rPr>
          <w:sz w:val="24"/>
          <w:szCs w:val="24"/>
          <w:color w:val="auto"/>
        </w:rPr>
      </w:pPr>
    </w:p>
    <w:p>
      <w:pPr>
        <w:spacing w:after="0"/>
        <w:rPr>
          <w:sz w:val="20"/>
          <w:szCs w:val="20"/>
          <w:color w:val="auto"/>
        </w:rPr>
      </w:pPr>
      <w:r>
        <w:rPr>
          <w:rFonts w:ascii="Times New Roman" w:cs="Times New Roman" w:eastAsia="Times New Roman" w:hAnsi="Times New Roman"/>
          <w:sz w:val="23"/>
          <w:szCs w:val="23"/>
          <w:color w:val="auto"/>
        </w:rPr>
        <w:t>April 16, 2026</w:t>
      </w:r>
    </w:p>
    <w:p>
      <w:pPr>
        <w:spacing w:after="0" w:line="205" w:lineRule="exact"/>
        <w:rPr>
          <w:sz w:val="24"/>
          <w:szCs w:val="24"/>
          <w:color w:val="auto"/>
        </w:rPr>
      </w:pPr>
    </w:p>
    <w:p>
      <w:pPr>
        <w:sectPr>
          <w:pgSz w:w="12240" w:h="15840" w:orient="portrait"/>
          <w:cols w:equalWidth="0" w:num="4">
            <w:col w:w="1480" w:space="720"/>
            <w:col w:w="2080" w:space="720"/>
            <w:col w:w="1460" w:space="540"/>
            <w:col w:w="3000"/>
          </w:cols>
          <w:pgMar w:left="1080" w:top="831" w:right="1160" w:bottom="974" w:gutter="0" w:footer="0" w:header="0"/>
          <w:type w:val="continuous"/>
        </w:sectPr>
      </w:pPr>
    </w:p>
    <w:p>
      <w:pPr>
        <w:spacing w:after="0" w:line="40" w:lineRule="exact"/>
        <w:rPr>
          <w:sz w:val="24"/>
          <w:szCs w:val="24"/>
          <w:color w:val="auto"/>
        </w:rPr>
      </w:pPr>
    </w:p>
    <w:p>
      <w:pPr>
        <w:spacing w:after="0"/>
        <w:rPr>
          <w:sz w:val="20"/>
          <w:szCs w:val="20"/>
          <w:color w:val="auto"/>
        </w:rPr>
      </w:pPr>
      <w:r>
        <w:rPr>
          <w:rFonts w:ascii="Times New Roman" w:cs="Times New Roman" w:eastAsia="Times New Roman" w:hAnsi="Times New Roman"/>
          <w:sz w:val="23"/>
          <w:szCs w:val="23"/>
          <w:b w:val="1"/>
          <w:bCs w:val="1"/>
          <w:color w:val="auto"/>
        </w:rPr>
        <w:t>Staff Contact:</w:t>
      </w:r>
    </w:p>
    <w:p>
      <w:pPr>
        <w:spacing w:after="0" w:line="20" w:lineRule="exact"/>
        <w:rPr>
          <w:sz w:val="24"/>
          <w:szCs w:val="24"/>
          <w:color w:val="auto"/>
        </w:rPr>
      </w:pPr>
      <w:r>
        <w:rPr>
          <w:sz w:val="24"/>
          <w:szCs w:val="24"/>
          <w:color w:val="auto"/>
        </w:rPr>
        <w:br w:type="column"/>
      </w:r>
    </w:p>
    <w:p>
      <w:pPr>
        <w:spacing w:after="0" w:line="26" w:lineRule="exact"/>
        <w:rPr>
          <w:sz w:val="24"/>
          <w:szCs w:val="24"/>
          <w:color w:val="auto"/>
        </w:rPr>
      </w:pPr>
    </w:p>
    <w:p>
      <w:pPr>
        <w:ind w:right="280"/>
        <w:spacing w:after="0" w:line="271" w:lineRule="auto"/>
        <w:rPr>
          <w:sz w:val="20"/>
          <w:szCs w:val="20"/>
          <w:color w:val="auto"/>
        </w:rPr>
      </w:pPr>
      <w:r>
        <w:rPr>
          <w:rFonts w:ascii="Times New Roman" w:cs="Times New Roman" w:eastAsia="Times New Roman" w:hAnsi="Times New Roman"/>
          <w:sz w:val="24"/>
          <w:szCs w:val="24"/>
          <w:color w:val="auto"/>
        </w:rPr>
        <w:t>Carol Akers, Purchasing and Contracts Administrator and Frank Abella, Chief Information Officer</w:t>
      </w:r>
    </w:p>
    <w:p>
      <w:pPr>
        <w:spacing w:after="0" w:line="163" w:lineRule="exact"/>
        <w:rPr>
          <w:sz w:val="24"/>
          <w:szCs w:val="24"/>
          <w:color w:val="auto"/>
        </w:rPr>
      </w:pPr>
    </w:p>
    <w:p>
      <w:pPr>
        <w:sectPr>
          <w:pgSz w:w="12240" w:h="15840" w:orient="portrait"/>
          <w:cols w:equalWidth="0" w:num="2">
            <w:col w:w="1480" w:space="720"/>
            <w:col w:w="7800"/>
          </w:cols>
          <w:pgMar w:left="1080" w:top="831" w:right="1160" w:bottom="974" w:gutter="0" w:footer="0" w:header="0"/>
          <w:type w:val="continuous"/>
        </w:sectPr>
      </w:pPr>
    </w:p>
    <w:p>
      <w:pPr>
        <w:jc w:val="both"/>
        <w:ind w:left="2200" w:hanging="2195"/>
        <w:spacing w:after="0" w:line="246" w:lineRule="auto"/>
        <w:tabs>
          <w:tab w:leader="none" w:pos="2180" w:val="left"/>
        </w:tabs>
        <w:rPr>
          <w:sz w:val="20"/>
          <w:szCs w:val="20"/>
          <w:color w:val="auto"/>
        </w:rPr>
      </w:pPr>
      <w:r>
        <w:rPr>
          <w:rFonts w:ascii="Times New Roman" w:cs="Times New Roman" w:eastAsia="Times New Roman" w:hAnsi="Times New Roman"/>
          <w:sz w:val="24"/>
          <w:szCs w:val="24"/>
          <w:b w:val="1"/>
          <w:bCs w:val="1"/>
          <w:color w:val="auto"/>
        </w:rPr>
        <w:t>Agenda Title:</w:t>
      </w:r>
      <w:r>
        <w:rPr>
          <w:sz w:val="20"/>
          <w:szCs w:val="20"/>
          <w:color w:val="auto"/>
        </w:rPr>
        <w:tab/>
      </w:r>
      <w:r>
        <w:rPr>
          <w:rFonts w:ascii="Times New Roman" w:cs="Times New Roman" w:eastAsia="Times New Roman" w:hAnsi="Times New Roman"/>
          <w:sz w:val="24"/>
          <w:szCs w:val="24"/>
          <w:color w:val="auto"/>
        </w:rPr>
        <w:t>For Possible Action: Discussion and possible action regarding authorization to purchase annual software licenses and support services for Tyler Technologies, Inc.’s (“Tyler”) Enterprise Resource Planning System, which functions as the City's financial records and management platform, for a not to exceed amount of $251,178 in Fiscal Year (“FY”) 2026. (Carol Akers, cakers@carsoncity.gov and Frank Abella, fabella@carsoncity.gov)</w:t>
      </w:r>
    </w:p>
    <w:p>
      <w:pPr>
        <w:spacing w:after="0" w:line="199" w:lineRule="exact"/>
        <w:rPr>
          <w:sz w:val="24"/>
          <w:szCs w:val="24"/>
          <w:color w:val="auto"/>
        </w:rPr>
      </w:pPr>
    </w:p>
    <w:p>
      <w:pPr>
        <w:spacing w:after="0"/>
        <w:tabs>
          <w:tab w:leader="none" w:pos="2180" w:val="left"/>
          <w:tab w:leader="none" w:pos="4980" w:val="left"/>
          <w:tab w:leader="none" w:pos="6980" w:val="left"/>
        </w:tabs>
        <w:rPr>
          <w:sz w:val="20"/>
          <w:szCs w:val="20"/>
          <w:color w:val="auto"/>
        </w:rPr>
      </w:pPr>
      <w:r>
        <w:rPr>
          <w:rFonts w:ascii="Times New Roman" w:cs="Times New Roman" w:eastAsia="Times New Roman" w:hAnsi="Times New Roman"/>
          <w:sz w:val="24"/>
          <w:szCs w:val="24"/>
          <w:b w:val="1"/>
          <w:bCs w:val="1"/>
          <w:color w:val="auto"/>
        </w:rPr>
        <w:t>Agenda Action:</w:t>
      </w:r>
      <w:r>
        <w:rPr>
          <w:sz w:val="20"/>
          <w:szCs w:val="20"/>
          <w:color w:val="auto"/>
        </w:rPr>
        <w:tab/>
      </w:r>
      <w:r>
        <w:rPr>
          <w:rFonts w:ascii="Times New Roman" w:cs="Times New Roman" w:eastAsia="Times New Roman" w:hAnsi="Times New Roman"/>
          <w:sz w:val="24"/>
          <w:szCs w:val="24"/>
          <w:color w:val="auto"/>
        </w:rPr>
        <w:t>Formal Action / Motion</w:t>
      </w:r>
      <w:r>
        <w:rPr>
          <w:sz w:val="20"/>
          <w:szCs w:val="20"/>
          <w:color w:val="auto"/>
        </w:rPr>
        <w:tab/>
      </w:r>
      <w:r>
        <w:rPr>
          <w:rFonts w:ascii="Times New Roman" w:cs="Times New Roman" w:eastAsia="Times New Roman" w:hAnsi="Times New Roman"/>
          <w:sz w:val="24"/>
          <w:szCs w:val="24"/>
          <w:b w:val="1"/>
          <w:bCs w:val="1"/>
          <w:color w:val="auto"/>
        </w:rPr>
        <w:t>Time Requested:</w:t>
      </w:r>
      <w:r>
        <w:rPr>
          <w:sz w:val="20"/>
          <w:szCs w:val="20"/>
          <w:color w:val="auto"/>
        </w:rPr>
        <w:tab/>
      </w:r>
      <w:r>
        <w:rPr>
          <w:rFonts w:ascii="Times New Roman" w:cs="Times New Roman" w:eastAsia="Times New Roman" w:hAnsi="Times New Roman"/>
          <w:sz w:val="23"/>
          <w:szCs w:val="23"/>
          <w:color w:val="auto"/>
        </w:rPr>
        <w:t>Consent</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0</wp:posOffset>
            </wp:positionH>
            <wp:positionV relativeFrom="paragraph">
              <wp:posOffset>247650</wp:posOffset>
            </wp:positionV>
            <wp:extent cx="6362700" cy="3048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extLst>
                    </a:blip>
                    <a:srcRect/>
                    <a:stretch>
                      <a:fillRect/>
                    </a:stretch>
                  </pic:blipFill>
                  <pic:spPr bwMode="auto">
                    <a:xfrm>
                      <a:off x="0" y="0"/>
                      <a:ext cx="6362700" cy="30480"/>
                    </a:xfrm>
                    <a:prstGeom prst="rect">
                      <a:avLst/>
                    </a:prstGeom>
                    <a:noFill/>
                  </pic:spPr>
                </pic:pic>
              </a:graphicData>
            </a:graphic>
          </wp:anchor>
        </w:drawing>
      </w:r>
    </w:p>
    <w:p>
      <w:pPr>
        <w:spacing w:after="0" w:line="200" w:lineRule="exact"/>
        <w:rPr>
          <w:sz w:val="24"/>
          <w:szCs w:val="24"/>
          <w:color w:val="auto"/>
        </w:rPr>
      </w:pPr>
    </w:p>
    <w:p>
      <w:pPr>
        <w:spacing w:after="0" w:line="200" w:lineRule="exact"/>
        <w:rPr>
          <w:sz w:val="24"/>
          <w:szCs w:val="24"/>
          <w:color w:val="auto"/>
        </w:rPr>
      </w:pPr>
    </w:p>
    <w:p>
      <w:pPr>
        <w:spacing w:after="0" w:line="228" w:lineRule="exact"/>
        <w:rPr>
          <w:sz w:val="24"/>
          <w:szCs w:val="24"/>
          <w:color w:val="auto"/>
        </w:rPr>
      </w:pPr>
    </w:p>
    <w:p>
      <w:pPr>
        <w:spacing w:after="0"/>
        <w:rPr>
          <w:sz w:val="20"/>
          <w:szCs w:val="20"/>
          <w:color w:val="auto"/>
        </w:rPr>
      </w:pPr>
      <w:r>
        <w:rPr>
          <w:rFonts w:ascii="Times New Roman" w:cs="Times New Roman" w:eastAsia="Times New Roman" w:hAnsi="Times New Roman"/>
          <w:sz w:val="24"/>
          <w:szCs w:val="24"/>
          <w:b w:val="1"/>
          <w:bCs w:val="1"/>
          <w:u w:val="single" w:color="auto"/>
          <w:color w:val="auto"/>
        </w:rPr>
        <w:t>Proposed Motion</w:t>
      </w:r>
    </w:p>
    <w:p>
      <w:pPr>
        <w:spacing w:after="0" w:line="32" w:lineRule="exact"/>
        <w:rPr>
          <w:sz w:val="24"/>
          <w:szCs w:val="24"/>
          <w:color w:val="auto"/>
        </w:rPr>
      </w:pPr>
    </w:p>
    <w:p>
      <w:pPr>
        <w:spacing w:after="0"/>
        <w:rPr>
          <w:sz w:val="20"/>
          <w:szCs w:val="20"/>
          <w:color w:val="auto"/>
        </w:rPr>
      </w:pPr>
      <w:r>
        <w:rPr>
          <w:rFonts w:ascii="Times New Roman" w:cs="Times New Roman" w:eastAsia="Times New Roman" w:hAnsi="Times New Roman"/>
          <w:sz w:val="24"/>
          <w:szCs w:val="24"/>
          <w:color w:val="auto"/>
        </w:rPr>
        <w:t>I move to approve the purchase authority as presented.</w:t>
      </w:r>
    </w:p>
    <w:p>
      <w:pPr>
        <w:spacing w:after="0" w:line="208" w:lineRule="exact"/>
        <w:rPr>
          <w:sz w:val="24"/>
          <w:szCs w:val="24"/>
          <w:color w:val="auto"/>
        </w:rPr>
      </w:pPr>
    </w:p>
    <w:p>
      <w:pPr>
        <w:spacing w:after="0"/>
        <w:rPr>
          <w:sz w:val="20"/>
          <w:szCs w:val="20"/>
          <w:color w:val="auto"/>
        </w:rPr>
      </w:pPr>
      <w:r>
        <w:rPr>
          <w:rFonts w:ascii="Times New Roman" w:cs="Times New Roman" w:eastAsia="Times New Roman" w:hAnsi="Times New Roman"/>
          <w:sz w:val="24"/>
          <w:szCs w:val="24"/>
          <w:b w:val="1"/>
          <w:bCs w:val="1"/>
          <w:u w:val="single" w:color="auto"/>
          <w:color w:val="auto"/>
        </w:rPr>
        <w:t>Board's Strategic Goal</w:t>
      </w:r>
    </w:p>
    <w:p>
      <w:pPr>
        <w:spacing w:after="0" w:line="32" w:lineRule="exact"/>
        <w:rPr>
          <w:sz w:val="24"/>
          <w:szCs w:val="24"/>
          <w:color w:val="auto"/>
        </w:rPr>
      </w:pPr>
    </w:p>
    <w:p>
      <w:pPr>
        <w:spacing w:after="0"/>
        <w:rPr>
          <w:sz w:val="20"/>
          <w:szCs w:val="20"/>
          <w:color w:val="auto"/>
        </w:rPr>
      </w:pPr>
      <w:r>
        <w:rPr>
          <w:rFonts w:ascii="Times New Roman" w:cs="Times New Roman" w:eastAsia="Times New Roman" w:hAnsi="Times New Roman"/>
          <w:sz w:val="24"/>
          <w:szCs w:val="24"/>
          <w:color w:val="auto"/>
        </w:rPr>
        <w:t>Efficient Government</w:t>
      </w:r>
    </w:p>
    <w:p>
      <w:pPr>
        <w:spacing w:after="0" w:line="208" w:lineRule="exact"/>
        <w:rPr>
          <w:sz w:val="24"/>
          <w:szCs w:val="24"/>
          <w:color w:val="auto"/>
        </w:rPr>
      </w:pPr>
    </w:p>
    <w:p>
      <w:pPr>
        <w:spacing w:after="0"/>
        <w:rPr>
          <w:sz w:val="20"/>
          <w:szCs w:val="20"/>
          <w:color w:val="auto"/>
        </w:rPr>
      </w:pPr>
      <w:r>
        <w:rPr>
          <w:rFonts w:ascii="Times New Roman" w:cs="Times New Roman" w:eastAsia="Times New Roman" w:hAnsi="Times New Roman"/>
          <w:sz w:val="24"/>
          <w:szCs w:val="24"/>
          <w:b w:val="1"/>
          <w:bCs w:val="1"/>
          <w:u w:val="single" w:color="auto"/>
          <w:color w:val="auto"/>
        </w:rPr>
        <w:t>Previous Action</w:t>
      </w:r>
    </w:p>
    <w:p>
      <w:pPr>
        <w:spacing w:after="0" w:line="32" w:lineRule="exact"/>
        <w:rPr>
          <w:sz w:val="24"/>
          <w:szCs w:val="24"/>
          <w:color w:val="auto"/>
        </w:rPr>
      </w:pPr>
    </w:p>
    <w:p>
      <w:pPr>
        <w:spacing w:after="0"/>
        <w:rPr>
          <w:sz w:val="20"/>
          <w:szCs w:val="20"/>
          <w:color w:val="auto"/>
        </w:rPr>
      </w:pPr>
      <w:r>
        <w:rPr>
          <w:rFonts w:ascii="Times New Roman" w:cs="Times New Roman" w:eastAsia="Times New Roman" w:hAnsi="Times New Roman"/>
          <w:sz w:val="24"/>
          <w:szCs w:val="24"/>
          <w:color w:val="auto"/>
        </w:rPr>
        <w:t>May 27, 2025 (Item 5a) – The Board of Supervisors approved the final budget for FY 2026.</w:t>
      </w:r>
    </w:p>
    <w:p>
      <w:pPr>
        <w:spacing w:after="0" w:line="208" w:lineRule="exact"/>
        <w:rPr>
          <w:sz w:val="24"/>
          <w:szCs w:val="24"/>
          <w:color w:val="auto"/>
        </w:rPr>
      </w:pPr>
    </w:p>
    <w:p>
      <w:pPr>
        <w:spacing w:after="0"/>
        <w:rPr>
          <w:sz w:val="20"/>
          <w:szCs w:val="20"/>
          <w:color w:val="auto"/>
        </w:rPr>
      </w:pPr>
      <w:r>
        <w:rPr>
          <w:rFonts w:ascii="Times New Roman" w:cs="Times New Roman" w:eastAsia="Times New Roman" w:hAnsi="Times New Roman"/>
          <w:sz w:val="24"/>
          <w:szCs w:val="24"/>
          <w:b w:val="1"/>
          <w:bCs w:val="1"/>
          <w:u w:val="single" w:color="auto"/>
          <w:color w:val="auto"/>
        </w:rPr>
        <w:t>Background/Issues &amp; Analysis</w:t>
      </w:r>
    </w:p>
    <w:p>
      <w:pPr>
        <w:spacing w:after="0" w:line="32" w:lineRule="exact"/>
        <w:rPr>
          <w:sz w:val="24"/>
          <w:szCs w:val="24"/>
          <w:color w:val="auto"/>
        </w:rPr>
      </w:pPr>
    </w:p>
    <w:p>
      <w:pPr>
        <w:ind w:right="80"/>
        <w:spacing w:after="0" w:line="241" w:lineRule="auto"/>
        <w:rPr>
          <w:sz w:val="20"/>
          <w:szCs w:val="20"/>
          <w:color w:val="auto"/>
        </w:rPr>
      </w:pPr>
      <w:r>
        <w:rPr>
          <w:rFonts w:ascii="Times New Roman" w:cs="Times New Roman" w:eastAsia="Times New Roman" w:hAnsi="Times New Roman"/>
          <w:sz w:val="24"/>
          <w:szCs w:val="24"/>
          <w:color w:val="auto"/>
        </w:rPr>
        <w:t>Carson City’s Information Technology Department (“IT”) acquires annual software licenses and support services essential to the City’s technology operations. One of the most critical systems in use is Tyler’s Enterprise Resource Planning System, which serves as the City’s financial records and management platform. This system facilitates payroll, accounts payable processing, general accounting record keeping, utility billing, and supports multiple departments, making it a cornerstone of the City’s business operations. The current billing cycle ended in March 2026 and, if approved, will be paid through March 2027.</w:t>
      </w:r>
    </w:p>
    <w:p>
      <w:pPr>
        <w:spacing w:after="0" w:line="242" w:lineRule="exact"/>
        <w:rPr>
          <w:sz w:val="24"/>
          <w:szCs w:val="24"/>
          <w:color w:val="auto"/>
        </w:rPr>
      </w:pPr>
    </w:p>
    <w:p>
      <w:pPr>
        <w:spacing w:after="0" w:line="243" w:lineRule="auto"/>
        <w:rPr>
          <w:sz w:val="20"/>
          <w:szCs w:val="20"/>
          <w:color w:val="auto"/>
        </w:rPr>
      </w:pPr>
      <w:r>
        <w:rPr>
          <w:rFonts w:ascii="Times New Roman" w:cs="Times New Roman" w:eastAsia="Times New Roman" w:hAnsi="Times New Roman"/>
          <w:sz w:val="24"/>
          <w:szCs w:val="24"/>
          <w:color w:val="auto"/>
        </w:rPr>
        <w:t>A supplemental request will also be heard separately on this agenda to migrate this tier-one system to Tyler's cloud-hosted platform. This move will cost the City $474,841 in annual maintenance, an increase of $223,663. However, migration to the cloud will: (1) save the IT Department, Public Works, Finance, and Treasurer time during testing every time an upgrade is released, (2) ensure the City is always on the most current version, (3) ensure system errors will be fixed more quickly since all entities will have the same issue, and (4) ensure safe storage of data as redundant systems operate on the East and West Coast, minimizing downtime. In an emergency, the City will still be able to pay bills, payroll, and other expenses. If the supplemental request is approved, the City would not proceed with the migration to Tyler's cloud-hosted platform until July 1, 2026, at the earliest.</w:t>
      </w:r>
    </w:p>
    <w:p>
      <w:pPr>
        <w:sectPr>
          <w:pgSz w:w="12240" w:h="15840" w:orient="portrait"/>
          <w:cols w:equalWidth="0" w:num="1">
            <w:col w:w="10000"/>
          </w:cols>
          <w:pgMar w:left="1080" w:top="831" w:right="1160" w:bottom="974" w:gutter="0" w:footer="0" w:header="0"/>
          <w:type w:val="continuous"/>
        </w:sectPr>
      </w:pPr>
    </w:p>
    <w:p>
      <w:pPr>
        <w:ind w:right="100"/>
        <w:spacing w:after="0" w:line="255" w:lineRule="auto"/>
        <w:rPr>
          <w:sz w:val="20"/>
          <w:szCs w:val="20"/>
          <w:color w:val="auto"/>
        </w:rPr>
      </w:pPr>
      <w:r>
        <w:rPr>
          <w:rFonts w:ascii="Times New Roman" w:cs="Times New Roman" w:eastAsia="Times New Roman" w:hAnsi="Times New Roman"/>
          <w:sz w:val="24"/>
          <w:szCs w:val="24"/>
          <w:color w:val="auto"/>
        </w:rPr>
        <w:t>Approval of this purchase order will ensure the uninterrupted functionality of the City’s financial management system, support the efficient operation of municipal services, and maintain continuity in financial record-keeping, regardless of whether the cloud-hosted migration is approved.</w:t>
      </w:r>
    </w:p>
    <w:p>
      <w:pPr>
        <w:spacing w:after="0" w:line="182" w:lineRule="exact"/>
        <w:rPr>
          <w:sz w:val="20"/>
          <w:szCs w:val="20"/>
          <w:color w:val="auto"/>
        </w:rPr>
      </w:pPr>
    </w:p>
    <w:p>
      <w:pPr>
        <w:ind w:right="4460"/>
        <w:spacing w:after="0" w:line="276" w:lineRule="auto"/>
        <w:rPr>
          <w:sz w:val="20"/>
          <w:szCs w:val="20"/>
          <w:color w:val="auto"/>
        </w:rPr>
      </w:pPr>
      <w:r>
        <w:rPr>
          <w:rFonts w:ascii="Times New Roman" w:cs="Times New Roman" w:eastAsia="Times New Roman" w:hAnsi="Times New Roman"/>
          <w:sz w:val="24"/>
          <w:szCs w:val="24"/>
          <w:b w:val="1"/>
          <w:bCs w:val="1"/>
          <w:u w:val="single" w:color="auto"/>
          <w:color w:val="auto"/>
        </w:rPr>
        <w:t xml:space="preserve">Applicable Statute, Code, Policy, Rule or Regulation </w:t>
      </w:r>
      <w:r>
        <w:rPr>
          <w:rFonts w:ascii="Times New Roman" w:cs="Times New Roman" w:eastAsia="Times New Roman" w:hAnsi="Times New Roman"/>
          <w:sz w:val="24"/>
          <w:szCs w:val="24"/>
          <w:color w:val="auto"/>
        </w:rPr>
        <w:t>NRS 332.115</w:t>
      </w:r>
    </w:p>
    <w:p>
      <w:pPr>
        <w:spacing w:after="0" w:line="157" w:lineRule="exact"/>
        <w:rPr>
          <w:sz w:val="20"/>
          <w:szCs w:val="20"/>
          <w:color w:val="auto"/>
        </w:rPr>
      </w:pPr>
    </w:p>
    <w:p>
      <w:pPr>
        <w:spacing w:after="0"/>
        <w:rPr>
          <w:sz w:val="20"/>
          <w:szCs w:val="20"/>
          <w:color w:val="auto"/>
        </w:rPr>
      </w:pPr>
      <w:r>
        <w:rPr>
          <w:rFonts w:ascii="Times New Roman" w:cs="Times New Roman" w:eastAsia="Times New Roman" w:hAnsi="Times New Roman"/>
          <w:sz w:val="24"/>
          <w:szCs w:val="24"/>
          <w:b w:val="1"/>
          <w:bCs w:val="1"/>
          <w:u w:val="single" w:color="auto"/>
          <w:color w:val="auto"/>
        </w:rPr>
        <w:t>Financial Information</w:t>
      </w:r>
    </w:p>
    <w:p>
      <w:pPr>
        <w:spacing w:after="0" w:line="32" w:lineRule="exact"/>
        <w:rPr>
          <w:sz w:val="20"/>
          <w:szCs w:val="20"/>
          <w:color w:val="auto"/>
        </w:rPr>
      </w:pPr>
    </w:p>
    <w:p>
      <w:pPr>
        <w:spacing w:after="0"/>
        <w:tabs>
          <w:tab w:leader="none" w:pos="2660" w:val="left"/>
        </w:tabs>
        <w:rPr>
          <w:sz w:val="20"/>
          <w:szCs w:val="20"/>
          <w:color w:val="auto"/>
        </w:rPr>
      </w:pPr>
      <w:r>
        <w:rPr>
          <w:rFonts w:ascii="Times New Roman" w:cs="Times New Roman" w:eastAsia="Times New Roman" w:hAnsi="Times New Roman"/>
          <w:sz w:val="24"/>
          <w:szCs w:val="24"/>
          <w:b w:val="1"/>
          <w:bCs w:val="1"/>
          <w:color w:val="auto"/>
        </w:rPr>
        <w:t>Is there a fiscal impact?</w:t>
      </w:r>
      <w:r>
        <w:rPr>
          <w:sz w:val="20"/>
          <w:szCs w:val="20"/>
          <w:color w:val="auto"/>
        </w:rPr>
        <w:tab/>
      </w:r>
      <w:r>
        <w:rPr>
          <w:rFonts w:ascii="Times New Roman" w:cs="Times New Roman" w:eastAsia="Times New Roman" w:hAnsi="Times New Roman"/>
          <w:sz w:val="23"/>
          <w:szCs w:val="23"/>
          <w:color w:val="auto"/>
        </w:rPr>
        <w:t>Yes</w:t>
      </w:r>
    </w:p>
    <w:p>
      <w:pPr>
        <w:spacing w:after="0" w:line="208" w:lineRule="exact"/>
        <w:rPr>
          <w:sz w:val="20"/>
          <w:szCs w:val="20"/>
          <w:color w:val="auto"/>
        </w:rPr>
      </w:pPr>
    </w:p>
    <w:p>
      <w:pPr>
        <w:spacing w:after="0" w:line="448" w:lineRule="auto"/>
        <w:rPr>
          <w:sz w:val="20"/>
          <w:szCs w:val="20"/>
          <w:color w:val="auto"/>
        </w:rPr>
      </w:pPr>
      <w:r>
        <w:rPr>
          <w:rFonts w:ascii="Times New Roman" w:cs="Times New Roman" w:eastAsia="Times New Roman" w:hAnsi="Times New Roman"/>
          <w:sz w:val="24"/>
          <w:szCs w:val="24"/>
          <w:b w:val="1"/>
          <w:bCs w:val="1"/>
          <w:color w:val="auto"/>
        </w:rPr>
        <w:t>If yes, account name/number:</w:t>
      </w:r>
      <w:r>
        <w:rPr>
          <w:rFonts w:ascii="Times New Roman" w:cs="Times New Roman" w:eastAsia="Times New Roman" w:hAnsi="Times New Roman"/>
          <w:sz w:val="24"/>
          <w:szCs w:val="24"/>
          <w:color w:val="auto"/>
        </w:rPr>
        <w:t xml:space="preserve"> General Fund, IT Software Maintenance Account / 1010710-500433</w:t>
      </w:r>
      <w:r>
        <w:rPr>
          <w:rFonts w:ascii="Times New Roman" w:cs="Times New Roman" w:eastAsia="Times New Roman" w:hAnsi="Times New Roman"/>
          <w:sz w:val="24"/>
          <w:szCs w:val="24"/>
          <w:b w:val="1"/>
          <w:bCs w:val="1"/>
          <w:color w:val="auto"/>
        </w:rPr>
        <w:t xml:space="preserve"> Is it currently budgeted?</w:t>
      </w:r>
      <w:r>
        <w:rPr>
          <w:rFonts w:ascii="Times New Roman" w:cs="Times New Roman" w:eastAsia="Times New Roman" w:hAnsi="Times New Roman"/>
          <w:sz w:val="24"/>
          <w:szCs w:val="24"/>
          <w:color w:val="auto"/>
        </w:rPr>
        <w:t xml:space="preserve"> Yes</w:t>
      </w:r>
    </w:p>
    <w:p>
      <w:pPr>
        <w:spacing w:after="0" w:line="2" w:lineRule="exact"/>
        <w:rPr>
          <w:sz w:val="20"/>
          <w:szCs w:val="20"/>
          <w:color w:val="auto"/>
        </w:rPr>
      </w:pPr>
    </w:p>
    <w:p>
      <w:pPr>
        <w:ind w:right="300"/>
        <w:spacing w:after="0" w:line="276" w:lineRule="auto"/>
        <w:rPr>
          <w:sz w:val="20"/>
          <w:szCs w:val="20"/>
          <w:color w:val="auto"/>
        </w:rPr>
      </w:pPr>
      <w:r>
        <w:rPr>
          <w:rFonts w:ascii="Times New Roman" w:cs="Times New Roman" w:eastAsia="Times New Roman" w:hAnsi="Times New Roman"/>
          <w:sz w:val="24"/>
          <w:szCs w:val="24"/>
          <w:b w:val="1"/>
          <w:bCs w:val="1"/>
          <w:color w:val="auto"/>
        </w:rPr>
        <w:t>Explanation of Fiscal Impact:</w:t>
      </w:r>
      <w:r>
        <w:rPr>
          <w:rFonts w:ascii="Times New Roman" w:cs="Times New Roman" w:eastAsia="Times New Roman" w:hAnsi="Times New Roman"/>
          <w:sz w:val="24"/>
          <w:szCs w:val="24"/>
          <w:color w:val="auto"/>
        </w:rPr>
        <w:t xml:space="preserve"> If approved, account 1010710-500433 will be reduced by a not to exceed amount of $251,178.00; the total available budget for this account is $1,652,704.00.</w:t>
      </w:r>
    </w:p>
    <w:p>
      <w:pPr>
        <w:spacing w:after="0" w:line="157" w:lineRule="exact"/>
        <w:rPr>
          <w:sz w:val="20"/>
          <w:szCs w:val="20"/>
          <w:color w:val="auto"/>
        </w:rPr>
      </w:pPr>
    </w:p>
    <w:p>
      <w:pPr>
        <w:spacing w:after="0"/>
        <w:rPr>
          <w:sz w:val="20"/>
          <w:szCs w:val="20"/>
          <w:color w:val="auto"/>
        </w:rPr>
      </w:pPr>
      <w:r>
        <w:rPr>
          <w:rFonts w:ascii="Times New Roman" w:cs="Times New Roman" w:eastAsia="Times New Roman" w:hAnsi="Times New Roman"/>
          <w:sz w:val="24"/>
          <w:szCs w:val="24"/>
          <w:b w:val="1"/>
          <w:bCs w:val="1"/>
          <w:u w:val="single" w:color="auto"/>
          <w:color w:val="auto"/>
        </w:rPr>
        <w:t>Alternatives</w:t>
      </w:r>
    </w:p>
    <w:p>
      <w:pPr>
        <w:spacing w:after="0" w:line="32" w:lineRule="exact"/>
        <w:rPr>
          <w:sz w:val="20"/>
          <w:szCs w:val="20"/>
          <w:color w:val="auto"/>
        </w:rPr>
      </w:pPr>
    </w:p>
    <w:p>
      <w:pPr>
        <w:spacing w:after="0"/>
        <w:rPr>
          <w:sz w:val="20"/>
          <w:szCs w:val="20"/>
          <w:color w:val="auto"/>
        </w:rPr>
      </w:pPr>
      <w:r>
        <w:rPr>
          <w:rFonts w:ascii="Times New Roman" w:cs="Times New Roman" w:eastAsia="Times New Roman" w:hAnsi="Times New Roman"/>
          <w:sz w:val="24"/>
          <w:szCs w:val="24"/>
          <w:color w:val="auto"/>
        </w:rPr>
        <w:t>Do not approve the purchase authority and/or provide alternative direction to staff.</w:t>
      </w:r>
    </w:p>
    <w:p>
      <w:pPr>
        <w:spacing w:after="0" w:line="208" w:lineRule="exact"/>
        <w:rPr>
          <w:sz w:val="20"/>
          <w:szCs w:val="20"/>
          <w:color w:val="auto"/>
        </w:rPr>
      </w:pPr>
    </w:p>
    <w:p>
      <w:pPr>
        <w:spacing w:after="0"/>
        <w:rPr>
          <w:sz w:val="20"/>
          <w:szCs w:val="20"/>
          <w:color w:val="auto"/>
        </w:rPr>
      </w:pPr>
      <w:r>
        <w:rPr>
          <w:rFonts w:ascii="Times New Roman" w:cs="Times New Roman" w:eastAsia="Times New Roman" w:hAnsi="Times New Roman"/>
          <w:sz w:val="24"/>
          <w:szCs w:val="24"/>
          <w:b w:val="1"/>
          <w:bCs w:val="1"/>
          <w:u w:val="single" w:color="auto"/>
          <w:color w:val="auto"/>
        </w:rPr>
        <w:t>Attachment(s):</w:t>
      </w:r>
    </w:p>
    <w:p>
      <w:pPr>
        <w:spacing w:after="0" w:line="32" w:lineRule="exact"/>
        <w:rPr>
          <w:sz w:val="20"/>
          <w:szCs w:val="20"/>
          <w:color w:val="auto"/>
        </w:rPr>
      </w:pPr>
    </w:p>
    <w:p>
      <w:pPr>
        <w:spacing w:after="0"/>
        <w:rPr>
          <w:rFonts w:ascii="Times New Roman" w:cs="Times New Roman" w:eastAsia="Times New Roman" w:hAnsi="Times New Roman"/>
          <w:sz w:val="24"/>
          <w:szCs w:val="24"/>
          <w:color w:val="0000EE"/>
        </w:rPr>
      </w:pPr>
      <w:hyperlink r:id="rId14">
        <w:r>
          <w:rPr>
            <w:rFonts w:ascii="Times New Roman" w:cs="Times New Roman" w:eastAsia="Times New Roman" w:hAnsi="Times New Roman"/>
            <w:sz w:val="24"/>
            <w:szCs w:val="24"/>
            <w:color w:val="0000EE"/>
          </w:rPr>
          <w:t>Tyler FY26 Invoice CI100-00252376.pdf</w:t>
        </w:r>
      </w:hyperlink>
    </w:p>
    <w:p>
      <w:pPr>
        <w:spacing w:after="0" w:line="200" w:lineRule="exact"/>
        <w:rPr>
          <w:sz w:val="20"/>
          <w:szCs w:val="20"/>
          <w:color w:val="auto"/>
        </w:rPr>
      </w:pPr>
    </w:p>
    <w:p>
      <w:pPr>
        <w:spacing w:after="0" w:line="290" w:lineRule="exact"/>
        <w:rPr>
          <w:sz w:val="20"/>
          <w:szCs w:val="20"/>
          <w:color w:val="auto"/>
        </w:rPr>
      </w:pPr>
    </w:p>
    <w:tbl>
      <w:tblPr>
        <w:tblLayout w:type="fixed"/>
        <w:tblInd w:w="0" w:type="dxa"/>
        <w:tblCellMar>
          <w:top w:w="0" w:type="dxa"/>
          <w:left w:w="0" w:type="dxa"/>
          <w:bottom w:w="0" w:type="dxa"/>
          <w:right w:w="0" w:type="dxa"/>
        </w:tblCellMar>
      </w:tblPr>
      <w:tr>
        <w:trPr>
          <w:trHeight w:val="276"/>
        </w:trPr>
        <w:tc>
          <w:tcPr>
            <w:tcW w:w="3820" w:type="dxa"/>
            <w:vAlign w:val="bottom"/>
          </w:tcPr>
          <w:p>
            <w:pPr>
              <w:spacing w:after="0"/>
              <w:rPr>
                <w:sz w:val="20"/>
                <w:szCs w:val="20"/>
                <w:color w:val="auto"/>
              </w:rPr>
            </w:pPr>
            <w:r>
              <w:rPr>
                <w:rFonts w:ascii="Times New Roman" w:cs="Times New Roman" w:eastAsia="Times New Roman" w:hAnsi="Times New Roman"/>
                <w:sz w:val="24"/>
                <w:szCs w:val="24"/>
                <w:color w:val="auto"/>
              </w:rPr>
              <w:t>Motion: _________________</w:t>
            </w:r>
          </w:p>
        </w:tc>
        <w:tc>
          <w:tcPr>
            <w:tcW w:w="2720" w:type="dxa"/>
            <w:vAlign w:val="bottom"/>
          </w:tcPr>
          <w:p>
            <w:pPr>
              <w:jc w:val="right"/>
              <w:ind w:right="320"/>
              <w:spacing w:after="0"/>
              <w:rPr>
                <w:sz w:val="20"/>
                <w:szCs w:val="20"/>
                <w:color w:val="auto"/>
              </w:rPr>
            </w:pPr>
            <w:r>
              <w:rPr>
                <w:rFonts w:ascii="Times New Roman" w:cs="Times New Roman" w:eastAsia="Times New Roman" w:hAnsi="Times New Roman"/>
                <w:sz w:val="24"/>
                <w:szCs w:val="24"/>
                <w:color w:val="auto"/>
              </w:rPr>
              <w:t>1) ________________</w:t>
            </w:r>
          </w:p>
        </w:tc>
        <w:tc>
          <w:tcPr>
            <w:tcW w:w="1680" w:type="dxa"/>
            <w:vAlign w:val="bottom"/>
          </w:tcPr>
          <w:p>
            <w:pPr>
              <w:ind w:left="460"/>
              <w:spacing w:after="0"/>
              <w:rPr>
                <w:sz w:val="20"/>
                <w:szCs w:val="20"/>
                <w:color w:val="auto"/>
              </w:rPr>
            </w:pPr>
            <w:r>
              <w:rPr>
                <w:rFonts w:ascii="Times New Roman" w:cs="Times New Roman" w:eastAsia="Times New Roman" w:hAnsi="Times New Roman"/>
                <w:sz w:val="24"/>
                <w:szCs w:val="24"/>
                <w:color w:val="auto"/>
              </w:rPr>
              <w:t>Aye/Nay</w:t>
            </w:r>
          </w:p>
        </w:tc>
        <w:tc>
          <w:tcPr>
            <w:tcW w:w="0" w:type="dxa"/>
            <w:vAlign w:val="bottom"/>
          </w:tcPr>
          <w:p>
            <w:pPr>
              <w:spacing w:after="0"/>
              <w:rPr>
                <w:sz w:val="1"/>
                <w:szCs w:val="1"/>
                <w:color w:val="auto"/>
              </w:rPr>
            </w:pPr>
          </w:p>
        </w:tc>
      </w:tr>
      <w:tr>
        <w:trPr>
          <w:trHeight w:val="276"/>
        </w:trPr>
        <w:tc>
          <w:tcPr>
            <w:tcW w:w="3820" w:type="dxa"/>
            <w:vAlign w:val="bottom"/>
          </w:tcPr>
          <w:p>
            <w:pPr>
              <w:spacing w:after="0"/>
              <w:rPr>
                <w:sz w:val="24"/>
                <w:szCs w:val="24"/>
                <w:color w:val="auto"/>
              </w:rPr>
            </w:pPr>
          </w:p>
        </w:tc>
        <w:tc>
          <w:tcPr>
            <w:tcW w:w="2720" w:type="dxa"/>
            <w:vAlign w:val="bottom"/>
          </w:tcPr>
          <w:p>
            <w:pPr>
              <w:jc w:val="right"/>
              <w:ind w:right="320"/>
              <w:spacing w:after="0"/>
              <w:rPr>
                <w:sz w:val="20"/>
                <w:szCs w:val="20"/>
                <w:color w:val="auto"/>
              </w:rPr>
            </w:pPr>
            <w:r>
              <w:rPr>
                <w:rFonts w:ascii="Times New Roman" w:cs="Times New Roman" w:eastAsia="Times New Roman" w:hAnsi="Times New Roman"/>
                <w:sz w:val="24"/>
                <w:szCs w:val="24"/>
                <w:color w:val="auto"/>
              </w:rPr>
              <w:t>2) ________________</w:t>
            </w:r>
          </w:p>
        </w:tc>
        <w:tc>
          <w:tcPr>
            <w:tcW w:w="1680" w:type="dxa"/>
            <w:vAlign w:val="bottom"/>
          </w:tcPr>
          <w:p>
            <w:pPr>
              <w:ind w:left="460"/>
              <w:spacing w:after="0"/>
              <w:rPr>
                <w:sz w:val="20"/>
                <w:szCs w:val="20"/>
                <w:color w:val="auto"/>
              </w:rPr>
            </w:pPr>
            <w:r>
              <w:rPr>
                <w:rFonts w:ascii="Times New Roman" w:cs="Times New Roman" w:eastAsia="Times New Roman" w:hAnsi="Times New Roman"/>
                <w:sz w:val="24"/>
                <w:szCs w:val="24"/>
                <w:color w:val="auto"/>
                <w:w w:val="98"/>
              </w:rPr>
              <w:t>__________</w:t>
            </w:r>
          </w:p>
        </w:tc>
        <w:tc>
          <w:tcPr>
            <w:tcW w:w="0" w:type="dxa"/>
            <w:vAlign w:val="bottom"/>
          </w:tcPr>
          <w:p>
            <w:pPr>
              <w:spacing w:after="0"/>
              <w:rPr>
                <w:sz w:val="1"/>
                <w:szCs w:val="1"/>
                <w:color w:val="auto"/>
              </w:rPr>
            </w:pPr>
          </w:p>
        </w:tc>
      </w:tr>
      <w:tr>
        <w:trPr>
          <w:trHeight w:val="276"/>
        </w:trPr>
        <w:tc>
          <w:tcPr>
            <w:tcW w:w="3820" w:type="dxa"/>
            <w:vAlign w:val="bottom"/>
          </w:tcPr>
          <w:p>
            <w:pPr>
              <w:spacing w:after="0"/>
              <w:rPr>
                <w:sz w:val="24"/>
                <w:szCs w:val="24"/>
                <w:color w:val="auto"/>
              </w:rPr>
            </w:pPr>
          </w:p>
        </w:tc>
        <w:tc>
          <w:tcPr>
            <w:tcW w:w="2720" w:type="dxa"/>
            <w:vAlign w:val="bottom"/>
          </w:tcPr>
          <w:p>
            <w:pPr>
              <w:spacing w:after="0"/>
              <w:rPr>
                <w:sz w:val="24"/>
                <w:szCs w:val="24"/>
                <w:color w:val="auto"/>
              </w:rPr>
            </w:pPr>
          </w:p>
        </w:tc>
        <w:tc>
          <w:tcPr>
            <w:tcW w:w="1680" w:type="dxa"/>
            <w:vAlign w:val="bottom"/>
          </w:tcPr>
          <w:p>
            <w:pPr>
              <w:ind w:left="460"/>
              <w:spacing w:after="0"/>
              <w:rPr>
                <w:sz w:val="20"/>
                <w:szCs w:val="20"/>
                <w:color w:val="auto"/>
              </w:rPr>
            </w:pPr>
            <w:r>
              <w:rPr>
                <w:rFonts w:ascii="Times New Roman" w:cs="Times New Roman" w:eastAsia="Times New Roman" w:hAnsi="Times New Roman"/>
                <w:sz w:val="24"/>
                <w:szCs w:val="24"/>
                <w:color w:val="auto"/>
                <w:w w:val="98"/>
              </w:rPr>
              <w:t>__________</w:t>
            </w:r>
          </w:p>
        </w:tc>
        <w:tc>
          <w:tcPr>
            <w:tcW w:w="0" w:type="dxa"/>
            <w:vAlign w:val="bottom"/>
          </w:tcPr>
          <w:p>
            <w:pPr>
              <w:spacing w:after="0"/>
              <w:rPr>
                <w:sz w:val="1"/>
                <w:szCs w:val="1"/>
                <w:color w:val="auto"/>
              </w:rPr>
            </w:pPr>
          </w:p>
        </w:tc>
      </w:tr>
      <w:tr>
        <w:trPr>
          <w:trHeight w:val="276"/>
        </w:trPr>
        <w:tc>
          <w:tcPr>
            <w:tcW w:w="3820" w:type="dxa"/>
            <w:vAlign w:val="bottom"/>
          </w:tcPr>
          <w:p>
            <w:pPr>
              <w:spacing w:after="0"/>
              <w:rPr>
                <w:sz w:val="24"/>
                <w:szCs w:val="24"/>
                <w:color w:val="auto"/>
              </w:rPr>
            </w:pPr>
          </w:p>
        </w:tc>
        <w:tc>
          <w:tcPr>
            <w:tcW w:w="2720" w:type="dxa"/>
            <w:vAlign w:val="bottom"/>
          </w:tcPr>
          <w:p>
            <w:pPr>
              <w:spacing w:after="0"/>
              <w:rPr>
                <w:sz w:val="24"/>
                <w:szCs w:val="24"/>
                <w:color w:val="auto"/>
              </w:rPr>
            </w:pPr>
          </w:p>
        </w:tc>
        <w:tc>
          <w:tcPr>
            <w:tcW w:w="1680" w:type="dxa"/>
            <w:vAlign w:val="bottom"/>
          </w:tcPr>
          <w:p>
            <w:pPr>
              <w:ind w:left="460"/>
              <w:spacing w:after="0"/>
              <w:rPr>
                <w:sz w:val="20"/>
                <w:szCs w:val="20"/>
                <w:color w:val="auto"/>
              </w:rPr>
            </w:pPr>
            <w:r>
              <w:rPr>
                <w:rFonts w:ascii="Times New Roman" w:cs="Times New Roman" w:eastAsia="Times New Roman" w:hAnsi="Times New Roman"/>
                <w:sz w:val="24"/>
                <w:szCs w:val="24"/>
                <w:color w:val="auto"/>
                <w:w w:val="98"/>
              </w:rPr>
              <w:t>__________</w:t>
            </w:r>
          </w:p>
        </w:tc>
        <w:tc>
          <w:tcPr>
            <w:tcW w:w="0" w:type="dxa"/>
            <w:vAlign w:val="bottom"/>
          </w:tcPr>
          <w:p>
            <w:pPr>
              <w:spacing w:after="0"/>
              <w:rPr>
                <w:sz w:val="1"/>
                <w:szCs w:val="1"/>
                <w:color w:val="auto"/>
              </w:rPr>
            </w:pPr>
          </w:p>
        </w:tc>
      </w:tr>
      <w:tr>
        <w:trPr>
          <w:trHeight w:val="276"/>
        </w:trPr>
        <w:tc>
          <w:tcPr>
            <w:tcW w:w="3820" w:type="dxa"/>
            <w:vAlign w:val="bottom"/>
          </w:tcPr>
          <w:p>
            <w:pPr>
              <w:spacing w:after="0"/>
              <w:rPr>
                <w:sz w:val="24"/>
                <w:szCs w:val="24"/>
                <w:color w:val="auto"/>
              </w:rPr>
            </w:pPr>
          </w:p>
        </w:tc>
        <w:tc>
          <w:tcPr>
            <w:tcW w:w="2720" w:type="dxa"/>
            <w:vAlign w:val="bottom"/>
          </w:tcPr>
          <w:p>
            <w:pPr>
              <w:spacing w:after="0"/>
              <w:rPr>
                <w:sz w:val="24"/>
                <w:szCs w:val="24"/>
                <w:color w:val="auto"/>
              </w:rPr>
            </w:pPr>
          </w:p>
        </w:tc>
        <w:tc>
          <w:tcPr>
            <w:tcW w:w="1680" w:type="dxa"/>
            <w:vAlign w:val="bottom"/>
          </w:tcPr>
          <w:p>
            <w:pPr>
              <w:ind w:left="460"/>
              <w:spacing w:after="0"/>
              <w:rPr>
                <w:sz w:val="20"/>
                <w:szCs w:val="20"/>
                <w:color w:val="auto"/>
              </w:rPr>
            </w:pPr>
            <w:r>
              <w:rPr>
                <w:rFonts w:ascii="Times New Roman" w:cs="Times New Roman" w:eastAsia="Times New Roman" w:hAnsi="Times New Roman"/>
                <w:sz w:val="24"/>
                <w:szCs w:val="24"/>
                <w:color w:val="auto"/>
                <w:w w:val="98"/>
              </w:rPr>
              <w:t>__________</w:t>
            </w:r>
          </w:p>
        </w:tc>
        <w:tc>
          <w:tcPr>
            <w:tcW w:w="0" w:type="dxa"/>
            <w:vAlign w:val="bottom"/>
          </w:tcPr>
          <w:p>
            <w:pPr>
              <w:spacing w:after="0"/>
              <w:rPr>
                <w:sz w:val="1"/>
                <w:szCs w:val="1"/>
                <w:color w:val="auto"/>
              </w:rPr>
            </w:pPr>
          </w:p>
        </w:tc>
      </w:tr>
      <w:tr>
        <w:trPr>
          <w:trHeight w:val="312"/>
        </w:trPr>
        <w:tc>
          <w:tcPr>
            <w:tcW w:w="3820" w:type="dxa"/>
            <w:vAlign w:val="bottom"/>
            <w:vMerge w:val="restart"/>
          </w:tcPr>
          <w:p>
            <w:pPr>
              <w:jc w:val="right"/>
              <w:spacing w:after="0"/>
              <w:rPr>
                <w:sz w:val="20"/>
                <w:szCs w:val="20"/>
                <w:color w:val="auto"/>
              </w:rPr>
            </w:pPr>
            <w:r>
              <w:rPr>
                <w:rFonts w:ascii="Times New Roman" w:cs="Times New Roman" w:eastAsia="Times New Roman" w:hAnsi="Times New Roman"/>
                <w:sz w:val="24"/>
                <w:szCs w:val="24"/>
                <w:color w:val="auto"/>
              </w:rPr>
              <w:t>_____________________________</w:t>
            </w:r>
          </w:p>
        </w:tc>
        <w:tc>
          <w:tcPr>
            <w:tcW w:w="2720" w:type="dxa"/>
            <w:vAlign w:val="bottom"/>
          </w:tcPr>
          <w:p>
            <w:pPr>
              <w:spacing w:after="0"/>
              <w:rPr>
                <w:sz w:val="24"/>
                <w:szCs w:val="24"/>
                <w:color w:val="auto"/>
              </w:rPr>
            </w:pPr>
          </w:p>
        </w:tc>
        <w:tc>
          <w:tcPr>
            <w:tcW w:w="1680" w:type="dxa"/>
            <w:vAlign w:val="bottom"/>
          </w:tcPr>
          <w:p>
            <w:pPr>
              <w:ind w:left="460"/>
              <w:spacing w:after="0"/>
              <w:rPr>
                <w:sz w:val="20"/>
                <w:szCs w:val="20"/>
                <w:color w:val="auto"/>
              </w:rPr>
            </w:pPr>
            <w:r>
              <w:rPr>
                <w:rFonts w:ascii="Times New Roman" w:cs="Times New Roman" w:eastAsia="Times New Roman" w:hAnsi="Times New Roman"/>
                <w:sz w:val="24"/>
                <w:szCs w:val="24"/>
                <w:color w:val="auto"/>
                <w:w w:val="98"/>
              </w:rPr>
              <w:t>__________</w:t>
            </w:r>
          </w:p>
        </w:tc>
        <w:tc>
          <w:tcPr>
            <w:tcW w:w="0" w:type="dxa"/>
            <w:vAlign w:val="bottom"/>
          </w:tcPr>
          <w:p>
            <w:pPr>
              <w:spacing w:after="0"/>
              <w:rPr>
                <w:sz w:val="1"/>
                <w:szCs w:val="1"/>
                <w:color w:val="auto"/>
              </w:rPr>
            </w:pPr>
          </w:p>
        </w:tc>
      </w:tr>
      <w:tr>
        <w:trPr>
          <w:trHeight w:val="240"/>
        </w:trPr>
        <w:tc>
          <w:tcPr>
            <w:tcW w:w="3820" w:type="dxa"/>
            <w:vAlign w:val="bottom"/>
            <w:vMerge w:val="continue"/>
          </w:tcPr>
          <w:p>
            <w:pPr>
              <w:spacing w:after="0"/>
              <w:rPr>
                <w:sz w:val="20"/>
                <w:szCs w:val="20"/>
                <w:color w:val="auto"/>
              </w:rPr>
            </w:pPr>
          </w:p>
        </w:tc>
        <w:tc>
          <w:tcPr>
            <w:tcW w:w="2720" w:type="dxa"/>
            <w:vAlign w:val="bottom"/>
          </w:tcPr>
          <w:p>
            <w:pPr>
              <w:spacing w:after="0"/>
              <w:rPr>
                <w:sz w:val="20"/>
                <w:szCs w:val="20"/>
                <w:color w:val="auto"/>
              </w:rPr>
            </w:pPr>
          </w:p>
        </w:tc>
        <w:tc>
          <w:tcPr>
            <w:tcW w:w="1680" w:type="dxa"/>
            <w:vAlign w:val="bottom"/>
          </w:tcPr>
          <w:p>
            <w:pPr>
              <w:spacing w:after="0"/>
              <w:rPr>
                <w:sz w:val="20"/>
                <w:szCs w:val="20"/>
                <w:color w:val="auto"/>
              </w:rPr>
            </w:pPr>
          </w:p>
        </w:tc>
        <w:tc>
          <w:tcPr>
            <w:tcW w:w="0" w:type="dxa"/>
            <w:vAlign w:val="bottom"/>
          </w:tcPr>
          <w:p>
            <w:pPr>
              <w:spacing w:after="0"/>
              <w:rPr>
                <w:sz w:val="1"/>
                <w:szCs w:val="1"/>
                <w:color w:val="auto"/>
              </w:rPr>
            </w:pPr>
          </w:p>
        </w:tc>
      </w:tr>
      <w:tr>
        <w:trPr>
          <w:trHeight w:val="312"/>
        </w:trPr>
        <w:tc>
          <w:tcPr>
            <w:tcW w:w="3820" w:type="dxa"/>
            <w:vAlign w:val="bottom"/>
          </w:tcPr>
          <w:p>
            <w:pPr>
              <w:jc w:val="center"/>
              <w:ind w:left="60"/>
              <w:spacing w:after="0"/>
              <w:rPr>
                <w:sz w:val="20"/>
                <w:szCs w:val="20"/>
                <w:color w:val="auto"/>
              </w:rPr>
            </w:pPr>
            <w:r>
              <w:rPr>
                <w:rFonts w:ascii="Times New Roman" w:cs="Times New Roman" w:eastAsia="Times New Roman" w:hAnsi="Times New Roman"/>
                <w:sz w:val="24"/>
                <w:szCs w:val="24"/>
                <w:color w:val="auto"/>
              </w:rPr>
              <w:t>(Vote Recorded By)</w:t>
            </w:r>
          </w:p>
        </w:tc>
        <w:tc>
          <w:tcPr>
            <w:tcW w:w="2720" w:type="dxa"/>
            <w:vAlign w:val="bottom"/>
          </w:tcPr>
          <w:p>
            <w:pPr>
              <w:spacing w:after="0"/>
              <w:rPr>
                <w:sz w:val="24"/>
                <w:szCs w:val="24"/>
                <w:color w:val="auto"/>
              </w:rPr>
            </w:pPr>
          </w:p>
        </w:tc>
        <w:tc>
          <w:tcPr>
            <w:tcW w:w="1680" w:type="dxa"/>
            <w:vAlign w:val="bottom"/>
          </w:tcPr>
          <w:p>
            <w:pPr>
              <w:spacing w:after="0"/>
              <w:rPr>
                <w:sz w:val="24"/>
                <w:szCs w:val="24"/>
                <w:color w:val="auto"/>
              </w:rPr>
            </w:pPr>
          </w:p>
        </w:tc>
        <w:tc>
          <w:tcPr>
            <w:tcW w:w="0" w:type="dxa"/>
            <w:vAlign w:val="bottom"/>
          </w:tcPr>
          <w:p>
            <w:pPr>
              <w:spacing w:after="0"/>
              <w:rPr>
                <w:sz w:val="1"/>
                <w:szCs w:val="1"/>
                <w:color w:val="auto"/>
              </w:rPr>
            </w:pPr>
          </w:p>
        </w:tc>
      </w:tr>
    </w:tbl>
    <w:p>
      <w:pPr>
        <w:spacing w:after="0" w:line="1" w:lineRule="exact"/>
        <w:rPr>
          <w:sz w:val="20"/>
          <w:szCs w:val="20"/>
          <w:color w:val="auto"/>
        </w:rPr>
      </w:pPr>
    </w:p>
    <w:sectPr>
      <w:pgSz w:w="12240" w:h="15840" w:orient="portrait"/>
      <w:cols w:equalWidth="0" w:num="1">
        <w:col w:w="9820"/>
      </w:cols>
      <w:pgMar w:left="1080" w:top="831" w:right="1340" w:bottom="1440" w:gutter="0" w:footer="0" w:header="0"/>
    </w:sectPr>
  </w:body>
</w:document>
</file>

<file path=word/fontTable.xml><?xml version="1.0" encoding="utf-8"?>
<w:font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w="http://schemas.openxmlformats.org/wordprocessingml/2006/main">
  <w:docDefaults>
    <w:rPrDefault>
      <w:rPr>
        <w:rFonts w:eastAsiaTheme="minorEastAsia"/>
        <w:sz w:val="22"/>
        <w:szCs w:val="22"/>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Layout w:type="fixed"/>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webSettings" Target="webSettings.xml"/><Relationship Id="rId12" Type="http://schemas.openxmlformats.org/officeDocument/2006/relationships/image" Target="media/image1.jpeg"/><Relationship Id="rId13" Type="http://schemas.openxmlformats.org/officeDocument/2006/relationships/image" Target="media/image2.png"/><Relationship Id="rId14" Type="http://schemas.openxmlformats.org/officeDocument/2006/relationships/hyperlink" Target="https://carsoncity.granicus.com/services/legistar/download/pdf/4018620/Tyler_FY26_Invoice_CI100-00252376.pdf" TargetMode="External"/></Relationships>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2026-04-09T21:59:52Z</dcterms:created>
  <dcterms:modified xsi:type="dcterms:W3CDTF">2026-04-09T21:59:52Z</dcterms:modified>
</cp:coreProperties>
</file>