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ind w:left="7860"/>
        <w:spacing w:after="0"/>
        <w:rPr>
          <w:sz w:val="20"/>
          <w:szCs w:val="20"/>
          <w:color w:val="auto"/>
        </w:rPr>
      </w:pPr>
      <w:r>
        <w:rPr>
          <w:rFonts w:ascii="Times New Roman" w:cs="Times New Roman" w:eastAsia="Times New Roman" w:hAnsi="Times New Roman"/>
          <w:sz w:val="23"/>
          <w:szCs w:val="23"/>
          <w:color w:val="auto"/>
        </w:rPr>
        <w:t>Agenda Item No: 11.b</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22225</wp:posOffset>
            </wp:positionV>
            <wp:extent cx="1234440" cy="9220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extLst>
                    </a:blip>
                    <a:srcRect/>
                    <a:stretch>
                      <a:fillRect/>
                    </a:stretch>
                  </pic:blipFill>
                  <pic:spPr bwMode="auto">
                    <a:xfrm>
                      <a:off x="0" y="0"/>
                      <a:ext cx="1234440" cy="922020"/>
                    </a:xfrm>
                    <a:prstGeom prst="rect">
                      <a:avLst/>
                    </a:prstGeom>
                    <a:noFill/>
                  </pic:spPr>
                </pic:pic>
              </a:graphicData>
            </a:graphic>
          </wp:anchor>
        </w:drawing>
      </w:r>
    </w:p>
    <w:p>
      <w:pPr>
        <w:spacing w:after="0" w:line="200" w:lineRule="exact"/>
        <w:rPr>
          <w:sz w:val="24"/>
          <w:szCs w:val="24"/>
          <w:color w:val="auto"/>
        </w:rPr>
      </w:pPr>
    </w:p>
    <w:p>
      <w:pPr>
        <w:spacing w:after="0" w:line="323" w:lineRule="exact"/>
        <w:rPr>
          <w:sz w:val="24"/>
          <w:szCs w:val="24"/>
          <w:color w:val="auto"/>
        </w:rPr>
      </w:pPr>
    </w:p>
    <w:p>
      <w:pPr>
        <w:ind w:left="2200"/>
        <w:spacing w:after="0"/>
        <w:rPr>
          <w:sz w:val="20"/>
          <w:szCs w:val="20"/>
          <w:color w:val="auto"/>
        </w:rPr>
      </w:pPr>
      <w:r>
        <w:rPr>
          <w:rFonts w:ascii="Times New Roman" w:cs="Times New Roman" w:eastAsia="Times New Roman" w:hAnsi="Times New Roman"/>
          <w:sz w:val="36"/>
          <w:szCs w:val="36"/>
          <w:b w:val="1"/>
          <w:bCs w:val="1"/>
          <w:color w:val="auto"/>
        </w:rPr>
        <w:t>STAFF REPORT</w:t>
      </w:r>
    </w:p>
    <w:p>
      <w:pPr>
        <w:sectPr>
          <w:pgSz w:w="12240" w:h="15840" w:orient="portrait"/>
          <w:cols w:equalWidth="0" w:num="1">
            <w:col w:w="10020"/>
          </w:cols>
          <w:pgMar w:left="1080" w:top="831" w:right="1140" w:bottom="728" w:gutter="0" w:footer="0" w:header="0"/>
        </w:sectPr>
      </w:pPr>
    </w:p>
    <w:p>
      <w:pPr>
        <w:spacing w:after="0" w:line="200" w:lineRule="exact"/>
        <w:rPr>
          <w:sz w:val="24"/>
          <w:szCs w:val="24"/>
          <w:color w:val="auto"/>
        </w:rPr>
      </w:pPr>
    </w:p>
    <w:p>
      <w:pPr>
        <w:spacing w:after="0" w:line="200" w:lineRule="exact"/>
        <w:rPr>
          <w:sz w:val="24"/>
          <w:szCs w:val="24"/>
          <w:color w:val="auto"/>
        </w:rPr>
      </w:pPr>
    </w:p>
    <w:p>
      <w:pPr>
        <w:spacing w:after="0" w:line="341"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b w:val="1"/>
          <w:bCs w:val="1"/>
          <w:color w:val="auto"/>
        </w:rPr>
        <w:t>Report To:</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7"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color w:val="auto"/>
        </w:rPr>
        <w:t>Board of Supervisors</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1"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Meeting Date:</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7"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color w:val="auto"/>
        </w:rPr>
        <w:t>July 2, 2026</w:t>
      </w:r>
    </w:p>
    <w:p>
      <w:pPr>
        <w:spacing w:after="0" w:line="205" w:lineRule="exact"/>
        <w:rPr>
          <w:sz w:val="24"/>
          <w:szCs w:val="24"/>
          <w:color w:val="auto"/>
        </w:rPr>
      </w:pPr>
    </w:p>
    <w:p>
      <w:pPr>
        <w:sectPr>
          <w:pgSz w:w="12240" w:h="15840" w:orient="portrait"/>
          <w:cols w:equalWidth="0" w:num="4">
            <w:col w:w="1480" w:space="720"/>
            <w:col w:w="2080" w:space="720"/>
            <w:col w:w="1460" w:space="540"/>
            <w:col w:w="3020"/>
          </w:cols>
          <w:pgMar w:left="1080" w:top="831" w:right="1140" w:bottom="728" w:gutter="0" w:footer="0" w:header="0"/>
          <w:type w:val="continuous"/>
        </w:sectPr>
      </w:pPr>
    </w:p>
    <w:p>
      <w:pPr>
        <w:spacing w:after="0" w:line="40"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b w:val="1"/>
          <w:bCs w:val="1"/>
          <w:color w:val="auto"/>
        </w:rPr>
        <w:t>Staff Contact:</w:t>
      </w:r>
    </w:p>
    <w:p>
      <w:pPr>
        <w:spacing w:after="0" w:line="20" w:lineRule="exact"/>
        <w:rPr>
          <w:sz w:val="24"/>
          <w:szCs w:val="24"/>
          <w:color w:val="auto"/>
        </w:rPr>
      </w:pPr>
      <w:r>
        <w:rPr>
          <w:sz w:val="24"/>
          <w:szCs w:val="24"/>
          <w:color w:val="auto"/>
        </w:rPr>
        <w:br w:type="column"/>
      </w:r>
    </w:p>
    <w:p>
      <w:pPr>
        <w:spacing w:after="0" w:line="26" w:lineRule="exact"/>
        <w:rPr>
          <w:sz w:val="24"/>
          <w:szCs w:val="24"/>
          <w:color w:val="auto"/>
        </w:rPr>
      </w:pPr>
    </w:p>
    <w:p>
      <w:pPr>
        <w:ind w:right="260"/>
        <w:spacing w:after="0" w:line="271" w:lineRule="auto"/>
        <w:rPr>
          <w:sz w:val="20"/>
          <w:szCs w:val="20"/>
          <w:color w:val="auto"/>
        </w:rPr>
      </w:pPr>
      <w:r>
        <w:rPr>
          <w:rFonts w:ascii="Times New Roman" w:cs="Times New Roman" w:eastAsia="Times New Roman" w:hAnsi="Times New Roman"/>
          <w:sz w:val="24"/>
          <w:szCs w:val="24"/>
          <w:color w:val="auto"/>
        </w:rPr>
        <w:t>Carol Akers, Purchasing &amp; Contracts Administrator and Darren Schulz, Public Works Director</w:t>
      </w:r>
    </w:p>
    <w:p>
      <w:pPr>
        <w:spacing w:after="0" w:line="163" w:lineRule="exact"/>
        <w:rPr>
          <w:sz w:val="24"/>
          <w:szCs w:val="24"/>
          <w:color w:val="auto"/>
        </w:rPr>
      </w:pPr>
    </w:p>
    <w:p>
      <w:pPr>
        <w:sectPr>
          <w:pgSz w:w="12240" w:h="15840" w:orient="portrait"/>
          <w:cols w:equalWidth="0" w:num="2">
            <w:col w:w="1480" w:space="720"/>
            <w:col w:w="7820"/>
          </w:cols>
          <w:pgMar w:left="1080" w:top="831" w:right="1140" w:bottom="728" w:gutter="0" w:footer="0" w:header="0"/>
          <w:type w:val="continuous"/>
        </w:sectPr>
      </w:pPr>
    </w:p>
    <w:p>
      <w:pPr>
        <w:jc w:val="both"/>
        <w:ind w:left="2200" w:hanging="2195"/>
        <w:spacing w:after="0" w:line="242" w:lineRule="auto"/>
        <w:tabs>
          <w:tab w:leader="none" w:pos="2180" w:val="left"/>
        </w:tabs>
        <w:rPr>
          <w:sz w:val="20"/>
          <w:szCs w:val="20"/>
          <w:color w:val="auto"/>
        </w:rPr>
      </w:pPr>
      <w:r>
        <w:rPr>
          <w:rFonts w:ascii="Times New Roman" w:cs="Times New Roman" w:eastAsia="Times New Roman" w:hAnsi="Times New Roman"/>
          <w:sz w:val="24"/>
          <w:szCs w:val="24"/>
          <w:b w:val="1"/>
          <w:bCs w:val="1"/>
          <w:color w:val="auto"/>
        </w:rPr>
        <w:t>Agenda Title:</w:t>
      </w:r>
      <w:r>
        <w:rPr>
          <w:sz w:val="20"/>
          <w:szCs w:val="20"/>
          <w:color w:val="auto"/>
        </w:rPr>
        <w:tab/>
      </w:r>
      <w:r>
        <w:rPr>
          <w:rFonts w:ascii="Times New Roman" w:cs="Times New Roman" w:eastAsia="Times New Roman" w:hAnsi="Times New Roman"/>
          <w:sz w:val="24"/>
          <w:szCs w:val="24"/>
          <w:color w:val="auto"/>
        </w:rPr>
        <w:t>For Possible Action: Discussion and possible action regarding ratification of an increase not to exceed $100,000 in Fiscal Year (”FY”) 2026 purchase authority, beyond the previously approved purchase authority of $1,312,455, for fuel and related delivery services utilizing the following joinder contracts: (1) fuel access through a card lock fueling network using State of Nevada joinder contract 99SWC-NV21-7551 with Pilot Thomas Logistics, LLC (“Pilot”); and (2) bulk fuel and related delivery services utilizing State of Nevada joinder contract 99SWC-NV20-4287 with Interstate Oil Company (“Interstate”) and 99SWC-NV20-4283 with Flyers Energy, LLC dba Western Energetix LLC (“Flyers”) (collectively “Bulk Fuels Contracts”), resulting in a new not to exceed purchase authority amount of $ 1,412,455 through FY 2026. (Carol Akers, cakers@carsoncity.gov and Mike Shaffer, mshaffer@carsoncity.gov)</w:t>
      </w:r>
    </w:p>
    <w:p>
      <w:pPr>
        <w:spacing w:after="0" w:line="213" w:lineRule="exact"/>
        <w:rPr>
          <w:sz w:val="24"/>
          <w:szCs w:val="24"/>
          <w:color w:val="auto"/>
        </w:rPr>
      </w:pPr>
    </w:p>
    <w:p>
      <w:pPr>
        <w:spacing w:after="0"/>
        <w:tabs>
          <w:tab w:leader="none" w:pos="2180" w:val="left"/>
          <w:tab w:leader="none" w:pos="4980" w:val="left"/>
          <w:tab w:leader="none" w:pos="6980" w:val="left"/>
        </w:tabs>
        <w:rPr>
          <w:sz w:val="20"/>
          <w:szCs w:val="20"/>
          <w:color w:val="auto"/>
        </w:rPr>
      </w:pPr>
      <w:r>
        <w:rPr>
          <w:rFonts w:ascii="Times New Roman" w:cs="Times New Roman" w:eastAsia="Times New Roman" w:hAnsi="Times New Roman"/>
          <w:sz w:val="24"/>
          <w:szCs w:val="24"/>
          <w:b w:val="1"/>
          <w:bCs w:val="1"/>
          <w:color w:val="auto"/>
        </w:rPr>
        <w:t>Agenda Action:</w:t>
      </w:r>
      <w:r>
        <w:rPr>
          <w:sz w:val="20"/>
          <w:szCs w:val="20"/>
          <w:color w:val="auto"/>
        </w:rPr>
        <w:tab/>
      </w:r>
      <w:r>
        <w:rPr>
          <w:rFonts w:ascii="Times New Roman" w:cs="Times New Roman" w:eastAsia="Times New Roman" w:hAnsi="Times New Roman"/>
          <w:sz w:val="24"/>
          <w:szCs w:val="24"/>
          <w:color w:val="auto"/>
        </w:rPr>
        <w:t>Formal Action / Motion</w:t>
      </w:r>
      <w:r>
        <w:rPr>
          <w:sz w:val="20"/>
          <w:szCs w:val="20"/>
          <w:color w:val="auto"/>
        </w:rPr>
        <w:tab/>
      </w:r>
      <w:r>
        <w:rPr>
          <w:rFonts w:ascii="Times New Roman" w:cs="Times New Roman" w:eastAsia="Times New Roman" w:hAnsi="Times New Roman"/>
          <w:sz w:val="24"/>
          <w:szCs w:val="24"/>
          <w:b w:val="1"/>
          <w:bCs w:val="1"/>
          <w:color w:val="auto"/>
        </w:rPr>
        <w:t>Time Requested:</w:t>
      </w:r>
      <w:r>
        <w:rPr>
          <w:sz w:val="20"/>
          <w:szCs w:val="20"/>
          <w:color w:val="auto"/>
        </w:rPr>
        <w:tab/>
      </w:r>
      <w:r>
        <w:rPr>
          <w:rFonts w:ascii="Times New Roman" w:cs="Times New Roman" w:eastAsia="Times New Roman" w:hAnsi="Times New Roman"/>
          <w:sz w:val="23"/>
          <w:szCs w:val="23"/>
          <w:color w:val="auto"/>
        </w:rPr>
        <w:t>Consent</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247650</wp:posOffset>
            </wp:positionV>
            <wp:extent cx="6362700" cy="304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extLst>
                    </a:blip>
                    <a:srcRect/>
                    <a:stretch>
                      <a:fillRect/>
                    </a:stretch>
                  </pic:blipFill>
                  <pic:spPr bwMode="auto">
                    <a:xfrm>
                      <a:off x="0" y="0"/>
                      <a:ext cx="6362700" cy="30480"/>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2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Proposed Motion</w:t>
      </w:r>
    </w:p>
    <w:p>
      <w:pPr>
        <w:spacing w:after="0" w:line="3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I move to ratify the increase in purchase authority, as requested.</w:t>
      </w:r>
    </w:p>
    <w:p>
      <w:pPr>
        <w:spacing w:after="0" w:line="20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Board's Strategic Goal</w:t>
      </w:r>
    </w:p>
    <w:p>
      <w:pPr>
        <w:spacing w:after="0" w:line="3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Efficient Government</w:t>
      </w:r>
    </w:p>
    <w:p>
      <w:pPr>
        <w:spacing w:after="0" w:line="20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Previous Action</w:t>
      </w:r>
    </w:p>
    <w:p>
      <w:pPr>
        <w:spacing w:after="0" w:line="32" w:lineRule="exact"/>
        <w:rPr>
          <w:sz w:val="24"/>
          <w:szCs w:val="24"/>
          <w:color w:val="auto"/>
        </w:rPr>
      </w:pPr>
    </w:p>
    <w:p>
      <w:pPr>
        <w:jc w:val="both"/>
        <w:ind w:right="200"/>
        <w:spacing w:after="0" w:line="244" w:lineRule="auto"/>
        <w:rPr>
          <w:sz w:val="20"/>
          <w:szCs w:val="20"/>
          <w:color w:val="auto"/>
        </w:rPr>
      </w:pPr>
      <w:r>
        <w:rPr>
          <w:rFonts w:ascii="Times New Roman" w:cs="Times New Roman" w:eastAsia="Times New Roman" w:hAnsi="Times New Roman"/>
          <w:sz w:val="24"/>
          <w:szCs w:val="24"/>
          <w:color w:val="auto"/>
        </w:rPr>
        <w:t>June 20, 2025 (Item 14.F) – The Board of Supervisors (“Board”) approved a not-to -exceed amount of $1,312,455 for fuel and related delivery services utilizing the Pilot joinder contract and the Bulk Fuels Contracts through June 30, 2026, based on the budgets of each City department.</w:t>
      </w:r>
    </w:p>
    <w:p>
      <w:pPr>
        <w:spacing w:after="0" w:line="194"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Background/Issues &amp; Analysis</w:t>
      </w:r>
    </w:p>
    <w:p>
      <w:pPr>
        <w:spacing w:after="0" w:line="32" w:lineRule="exact"/>
        <w:rPr>
          <w:sz w:val="24"/>
          <w:szCs w:val="24"/>
          <w:color w:val="auto"/>
        </w:rPr>
      </w:pPr>
    </w:p>
    <w:p>
      <w:pPr>
        <w:ind w:right="140"/>
        <w:spacing w:after="0" w:line="242" w:lineRule="auto"/>
        <w:rPr>
          <w:sz w:val="20"/>
          <w:szCs w:val="20"/>
          <w:color w:val="auto"/>
        </w:rPr>
      </w:pPr>
      <w:r>
        <w:rPr>
          <w:rFonts w:ascii="Times New Roman" w:cs="Times New Roman" w:eastAsia="Times New Roman" w:hAnsi="Times New Roman"/>
          <w:sz w:val="24"/>
          <w:szCs w:val="24"/>
          <w:color w:val="auto"/>
        </w:rPr>
        <w:t>The Bulk Fuels Contracts permit the purchase of bulk fuel and associated delivery services for City-owned vehicles. Since bulk fuel prices fluctuate daily, the Bulk Fuel Contracts require that each daily purchase be made from the lowest cost supplier, which is determined by obtaining quotes from the two contracted vendors in the region to determine the lowest cost for the day.</w:t>
      </w:r>
    </w:p>
    <w:p>
      <w:pPr>
        <w:spacing w:after="0" w:line="241" w:lineRule="exact"/>
        <w:rPr>
          <w:sz w:val="24"/>
          <w:szCs w:val="24"/>
          <w:color w:val="auto"/>
        </w:rPr>
      </w:pPr>
    </w:p>
    <w:p>
      <w:pPr>
        <w:ind w:right="100"/>
        <w:spacing w:after="0" w:line="255" w:lineRule="auto"/>
        <w:rPr>
          <w:sz w:val="20"/>
          <w:szCs w:val="20"/>
          <w:color w:val="auto"/>
        </w:rPr>
      </w:pPr>
      <w:r>
        <w:rPr>
          <w:rFonts w:ascii="Times New Roman" w:cs="Times New Roman" w:eastAsia="Times New Roman" w:hAnsi="Times New Roman"/>
          <w:sz w:val="24"/>
          <w:szCs w:val="24"/>
          <w:color w:val="auto"/>
        </w:rPr>
        <w:t>The joinder contract with Pilot permits City employees to purchase fuel for an amount based on market fluctuations at gas stations through the card lock fueling network when fuel through the Bulk Fuel Contracts is unavailable.</w:t>
      </w:r>
    </w:p>
    <w:p>
      <w:pPr>
        <w:spacing w:after="0" w:line="224"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The not-to-exceed amount of $1,412,455 is for the entire City through June 30, 2026, and is based on</w:t>
      </w:r>
    </w:p>
    <w:p>
      <w:pPr>
        <w:sectPr>
          <w:pgSz w:w="12240" w:h="15840" w:orient="portrait"/>
          <w:cols w:equalWidth="0" w:num="1">
            <w:col w:w="10020"/>
          </w:cols>
          <w:pgMar w:left="1080" w:top="831" w:right="1140" w:bottom="728" w:gutter="0" w:footer="0" w:header="0"/>
          <w:type w:val="continuous"/>
        </w:sectPr>
      </w:pPr>
    </w:p>
    <w:p>
      <w:pPr>
        <w:jc w:val="both"/>
        <w:spacing w:after="0" w:line="255" w:lineRule="auto"/>
        <w:rPr>
          <w:sz w:val="20"/>
          <w:szCs w:val="20"/>
          <w:color w:val="auto"/>
        </w:rPr>
      </w:pPr>
      <w:r>
        <w:rPr>
          <w:rFonts w:ascii="Times New Roman" w:cs="Times New Roman" w:eastAsia="Times New Roman" w:hAnsi="Times New Roman"/>
          <w:sz w:val="24"/>
          <w:szCs w:val="24"/>
          <w:color w:val="auto"/>
        </w:rPr>
        <w:t>the budgets of each City department that will utilize these joinder contracts. Due to higher than expected fuel costs since the Board approved the initial FY 2026 purchase authority on June 20, 2025, additional authority, not to exceed $100,000, is being requested to close out FY 2026.</w:t>
      </w:r>
    </w:p>
    <w:p>
      <w:pPr>
        <w:spacing w:after="0" w:line="224" w:lineRule="exact"/>
        <w:rPr>
          <w:sz w:val="20"/>
          <w:szCs w:val="20"/>
          <w:color w:val="auto"/>
        </w:rPr>
      </w:pPr>
    </w:p>
    <w:p>
      <w:pPr>
        <w:ind w:right="3640"/>
        <w:spacing w:after="0" w:line="264" w:lineRule="auto"/>
        <w:rPr>
          <w:sz w:val="20"/>
          <w:szCs w:val="20"/>
          <w:color w:val="auto"/>
        </w:rPr>
      </w:pPr>
      <w:r>
        <w:rPr>
          <w:rFonts w:ascii="Times New Roman" w:cs="Times New Roman" w:eastAsia="Times New Roman" w:hAnsi="Times New Roman"/>
          <w:sz w:val="23"/>
          <w:szCs w:val="23"/>
          <w:color w:val="auto"/>
        </w:rPr>
        <w:t>The Bulk Fuel Contracts, detailed below, expire January 30, 2027: 99SWC-NV20-4287 between the State of Nevada and Interstate 99SWC-NV20-4283 between the State of Nevada and Flyers https://www.purchasing.nv.gov/statewide-contracts/bulk-fuels/</w:t>
      </w:r>
    </w:p>
    <w:p>
      <w:pPr>
        <w:spacing w:after="0" w:line="216" w:lineRule="exact"/>
        <w:rPr>
          <w:sz w:val="20"/>
          <w:szCs w:val="20"/>
          <w:color w:val="auto"/>
        </w:rPr>
      </w:pPr>
    </w:p>
    <w:p>
      <w:pPr>
        <w:ind w:right="2520"/>
        <w:spacing w:after="0" w:line="255" w:lineRule="auto"/>
        <w:rPr>
          <w:sz w:val="20"/>
          <w:szCs w:val="20"/>
          <w:color w:val="auto"/>
        </w:rPr>
      </w:pPr>
      <w:r>
        <w:rPr>
          <w:rFonts w:ascii="Times New Roman" w:cs="Times New Roman" w:eastAsia="Times New Roman" w:hAnsi="Times New Roman"/>
          <w:sz w:val="24"/>
          <w:szCs w:val="24"/>
          <w:color w:val="auto"/>
        </w:rPr>
        <w:t>The Fuel card lock network expires March 31, 2027: 99SWC-NV21-7551 between the State of Nevada and Pilot https://www.purchasing.nv.gov/statewide-contracts/fuel-management-system/</w:t>
      </w:r>
    </w:p>
    <w:p>
      <w:pPr>
        <w:spacing w:after="0" w:line="182" w:lineRule="exact"/>
        <w:rPr>
          <w:sz w:val="20"/>
          <w:szCs w:val="20"/>
          <w:color w:val="auto"/>
        </w:rPr>
      </w:pPr>
    </w:p>
    <w:p>
      <w:pPr>
        <w:ind w:right="4660"/>
        <w:spacing w:after="0" w:line="276" w:lineRule="auto"/>
        <w:rPr>
          <w:sz w:val="20"/>
          <w:szCs w:val="20"/>
          <w:color w:val="auto"/>
        </w:rPr>
      </w:pPr>
      <w:r>
        <w:rPr>
          <w:rFonts w:ascii="Times New Roman" w:cs="Times New Roman" w:eastAsia="Times New Roman" w:hAnsi="Times New Roman"/>
          <w:sz w:val="24"/>
          <w:szCs w:val="24"/>
          <w:b w:val="1"/>
          <w:bCs w:val="1"/>
          <w:u w:val="single" w:color="auto"/>
          <w:color w:val="auto"/>
        </w:rPr>
        <w:t xml:space="preserve">Applicable Statute, Code, Policy, Rule or Regulation </w:t>
      </w:r>
      <w:r>
        <w:rPr>
          <w:rFonts w:ascii="Times New Roman" w:cs="Times New Roman" w:eastAsia="Times New Roman" w:hAnsi="Times New Roman"/>
          <w:sz w:val="24"/>
          <w:szCs w:val="24"/>
          <w:color w:val="auto"/>
        </w:rPr>
        <w:t>NRS 332.195</w:t>
      </w:r>
    </w:p>
    <w:p>
      <w:pPr>
        <w:spacing w:after="0" w:line="15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Financial Information</w:t>
      </w:r>
    </w:p>
    <w:p>
      <w:pPr>
        <w:spacing w:after="0" w:line="32" w:lineRule="exact"/>
        <w:rPr>
          <w:sz w:val="20"/>
          <w:szCs w:val="20"/>
          <w:color w:val="auto"/>
        </w:rPr>
      </w:pPr>
    </w:p>
    <w:p>
      <w:pPr>
        <w:spacing w:after="0"/>
        <w:tabs>
          <w:tab w:leader="none" w:pos="2660" w:val="left"/>
        </w:tabs>
        <w:rPr>
          <w:sz w:val="20"/>
          <w:szCs w:val="20"/>
          <w:color w:val="auto"/>
        </w:rPr>
      </w:pPr>
      <w:r>
        <w:rPr>
          <w:rFonts w:ascii="Times New Roman" w:cs="Times New Roman" w:eastAsia="Times New Roman" w:hAnsi="Times New Roman"/>
          <w:sz w:val="24"/>
          <w:szCs w:val="24"/>
          <w:b w:val="1"/>
          <w:bCs w:val="1"/>
          <w:color w:val="auto"/>
        </w:rPr>
        <w:t>Is there a fiscal impact?</w:t>
      </w:r>
      <w:r>
        <w:rPr>
          <w:sz w:val="20"/>
          <w:szCs w:val="20"/>
          <w:color w:val="auto"/>
        </w:rPr>
        <w:tab/>
      </w:r>
      <w:r>
        <w:rPr>
          <w:rFonts w:ascii="Times New Roman" w:cs="Times New Roman" w:eastAsia="Times New Roman" w:hAnsi="Times New Roman"/>
          <w:sz w:val="23"/>
          <w:szCs w:val="23"/>
          <w:color w:val="auto"/>
        </w:rPr>
        <w:t>Yes</w:t>
      </w:r>
    </w:p>
    <w:p>
      <w:pPr>
        <w:spacing w:after="0" w:line="208" w:lineRule="exact"/>
        <w:rPr>
          <w:sz w:val="20"/>
          <w:szCs w:val="20"/>
          <w:color w:val="auto"/>
        </w:rPr>
      </w:pPr>
    </w:p>
    <w:p>
      <w:pPr>
        <w:ind w:right="1360"/>
        <w:spacing w:after="0" w:line="448" w:lineRule="auto"/>
        <w:rPr>
          <w:sz w:val="20"/>
          <w:szCs w:val="20"/>
          <w:color w:val="auto"/>
        </w:rPr>
      </w:pPr>
      <w:r>
        <w:rPr>
          <w:rFonts w:ascii="Times New Roman" w:cs="Times New Roman" w:eastAsia="Times New Roman" w:hAnsi="Times New Roman"/>
          <w:sz w:val="24"/>
          <w:szCs w:val="24"/>
          <w:b w:val="1"/>
          <w:bCs w:val="1"/>
          <w:color w:val="auto"/>
        </w:rPr>
        <w:t>If yes, account name/number:</w:t>
      </w:r>
      <w:r>
        <w:rPr>
          <w:rFonts w:ascii="Times New Roman" w:cs="Times New Roman" w:eastAsia="Times New Roman" w:hAnsi="Times New Roman"/>
          <w:sz w:val="24"/>
          <w:szCs w:val="24"/>
          <w:color w:val="auto"/>
        </w:rPr>
        <w:t xml:space="preserve"> City-wide vehicle fuel/oil accounts, object code 500660.</w:t>
      </w:r>
      <w:r>
        <w:rPr>
          <w:rFonts w:ascii="Times New Roman" w:cs="Times New Roman" w:eastAsia="Times New Roman" w:hAnsi="Times New Roman"/>
          <w:sz w:val="24"/>
          <w:szCs w:val="24"/>
          <w:b w:val="1"/>
          <w:bCs w:val="1"/>
          <w:color w:val="auto"/>
        </w:rPr>
        <w:t xml:space="preserve"> Is it currently budgeted?</w:t>
      </w:r>
      <w:r>
        <w:rPr>
          <w:rFonts w:ascii="Times New Roman" w:cs="Times New Roman" w:eastAsia="Times New Roman" w:hAnsi="Times New Roman"/>
          <w:sz w:val="24"/>
          <w:szCs w:val="24"/>
          <w:color w:val="auto"/>
        </w:rPr>
        <w:t xml:space="preserve"> Yes</w:t>
      </w:r>
    </w:p>
    <w:p>
      <w:pPr>
        <w:spacing w:after="0" w:line="2" w:lineRule="exact"/>
        <w:rPr>
          <w:sz w:val="20"/>
          <w:szCs w:val="20"/>
          <w:color w:val="auto"/>
        </w:rPr>
      </w:pPr>
    </w:p>
    <w:p>
      <w:pPr>
        <w:ind w:right="320"/>
        <w:spacing w:after="0" w:line="252" w:lineRule="auto"/>
        <w:rPr>
          <w:sz w:val="20"/>
          <w:szCs w:val="20"/>
          <w:color w:val="auto"/>
        </w:rPr>
      </w:pPr>
      <w:r>
        <w:rPr>
          <w:rFonts w:ascii="Times New Roman" w:cs="Times New Roman" w:eastAsia="Times New Roman" w:hAnsi="Times New Roman"/>
          <w:sz w:val="24"/>
          <w:szCs w:val="24"/>
          <w:b w:val="1"/>
          <w:bCs w:val="1"/>
          <w:color w:val="auto"/>
        </w:rPr>
        <w:t>Explanation of Fiscal Impact:</w:t>
      </w:r>
      <w:r>
        <w:rPr>
          <w:rFonts w:ascii="Times New Roman" w:cs="Times New Roman" w:eastAsia="Times New Roman" w:hAnsi="Times New Roman"/>
          <w:sz w:val="24"/>
          <w:szCs w:val="24"/>
          <w:color w:val="auto"/>
        </w:rPr>
        <w:t xml:space="preserve"> Each department will manage their respective budget accounts. If approved, budget transfers will be completed to move available budget from various line items to the Fuel line items as indicated on the attached spreadsheet, making the total Fuel Budget for FY 2026 $1,412,455.</w:t>
      </w:r>
    </w:p>
    <w:p>
      <w:pPr>
        <w:spacing w:after="0" w:line="185"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Alternatives</w:t>
      </w:r>
    </w:p>
    <w:p>
      <w:pPr>
        <w:spacing w:after="0" w:line="32"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Do not ratify the increase in purchase authority and/or provide alternative directions to staff.</w:t>
      </w:r>
    </w:p>
    <w:p>
      <w:pPr>
        <w:spacing w:after="0" w:line="20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Attachment(s):</w:t>
      </w:r>
    </w:p>
    <w:p>
      <w:pPr>
        <w:spacing w:after="0" w:line="32" w:lineRule="exact"/>
        <w:rPr>
          <w:sz w:val="20"/>
          <w:szCs w:val="20"/>
          <w:color w:val="auto"/>
        </w:rPr>
      </w:pPr>
    </w:p>
    <w:p>
      <w:pPr>
        <w:spacing w:after="0"/>
        <w:rPr>
          <w:rFonts w:ascii="Times New Roman" w:cs="Times New Roman" w:eastAsia="Times New Roman" w:hAnsi="Times New Roman"/>
          <w:sz w:val="24"/>
          <w:szCs w:val="24"/>
          <w:color w:val="0000EE"/>
        </w:rPr>
      </w:pPr>
      <w:hyperlink r:id="rId14">
        <w:r>
          <w:rPr>
            <w:rFonts w:ascii="Times New Roman" w:cs="Times New Roman" w:eastAsia="Times New Roman" w:hAnsi="Times New Roman"/>
            <w:sz w:val="24"/>
            <w:szCs w:val="24"/>
            <w:color w:val="0000EE"/>
          </w:rPr>
          <w:t>FY26_Vehicle_Fuel_Accounts_Increase.xlsx.pdf</w:t>
        </w:r>
      </w:hyperlink>
    </w:p>
    <w:p>
      <w:pPr>
        <w:spacing w:after="0" w:line="200" w:lineRule="exact"/>
        <w:rPr>
          <w:sz w:val="20"/>
          <w:szCs w:val="20"/>
          <w:color w:val="auto"/>
        </w:rPr>
      </w:pPr>
    </w:p>
    <w:p>
      <w:pPr>
        <w:spacing w:after="0" w:line="290" w:lineRule="exact"/>
        <w:rPr>
          <w:sz w:val="20"/>
          <w:szCs w:val="20"/>
          <w:color w:val="auto"/>
        </w:rPr>
      </w:pPr>
    </w:p>
    <w:tbl>
      <w:tblPr>
        <w:tblLayout w:type="fixed"/>
        <w:tblInd w:w="0" w:type="dxa"/>
        <w:tblCellMar>
          <w:top w:w="0" w:type="dxa"/>
          <w:left w:w="0" w:type="dxa"/>
          <w:bottom w:w="0" w:type="dxa"/>
          <w:right w:w="0" w:type="dxa"/>
        </w:tblCellMar>
      </w:tblPr>
      <w:tr>
        <w:trPr>
          <w:trHeight w:val="276"/>
        </w:trPr>
        <w:tc>
          <w:tcPr>
            <w:tcW w:w="3820" w:type="dxa"/>
            <w:vAlign w:val="bottom"/>
          </w:tcPr>
          <w:p>
            <w:pPr>
              <w:spacing w:after="0"/>
              <w:rPr>
                <w:sz w:val="20"/>
                <w:szCs w:val="20"/>
                <w:color w:val="auto"/>
              </w:rPr>
            </w:pPr>
            <w:r>
              <w:rPr>
                <w:rFonts w:ascii="Times New Roman" w:cs="Times New Roman" w:eastAsia="Times New Roman" w:hAnsi="Times New Roman"/>
                <w:sz w:val="24"/>
                <w:szCs w:val="24"/>
                <w:color w:val="auto"/>
              </w:rPr>
              <w:t>Motion: _________________</w:t>
            </w:r>
          </w:p>
        </w:tc>
        <w:tc>
          <w:tcPr>
            <w:tcW w:w="2720" w:type="dxa"/>
            <w:vAlign w:val="bottom"/>
          </w:tcPr>
          <w:p>
            <w:pPr>
              <w:jc w:val="right"/>
              <w:ind w:right="320"/>
              <w:spacing w:after="0"/>
              <w:rPr>
                <w:sz w:val="20"/>
                <w:szCs w:val="20"/>
                <w:color w:val="auto"/>
              </w:rPr>
            </w:pPr>
            <w:r>
              <w:rPr>
                <w:rFonts w:ascii="Times New Roman" w:cs="Times New Roman" w:eastAsia="Times New Roman" w:hAnsi="Times New Roman"/>
                <w:sz w:val="24"/>
                <w:szCs w:val="24"/>
                <w:color w:val="auto"/>
              </w:rPr>
              <w:t>1) ________________</w:t>
            </w: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rPr>
              <w:t>Aye/Nay</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jc w:val="right"/>
              <w:ind w:right="320"/>
              <w:spacing w:after="0"/>
              <w:rPr>
                <w:sz w:val="20"/>
                <w:szCs w:val="20"/>
                <w:color w:val="auto"/>
              </w:rPr>
            </w:pPr>
            <w:r>
              <w:rPr>
                <w:rFonts w:ascii="Times New Roman" w:cs="Times New Roman" w:eastAsia="Times New Roman" w:hAnsi="Times New Roman"/>
                <w:sz w:val="24"/>
                <w:szCs w:val="24"/>
                <w:color w:val="auto"/>
              </w:rPr>
              <w:t>2) ________________</w:t>
            </w: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312"/>
        </w:trPr>
        <w:tc>
          <w:tcPr>
            <w:tcW w:w="3820" w:type="dxa"/>
            <w:vAlign w:val="bottom"/>
            <w:vMerge w:val="restart"/>
          </w:tcPr>
          <w:p>
            <w:pPr>
              <w:jc w:val="right"/>
              <w:spacing w:after="0"/>
              <w:rPr>
                <w:sz w:val="20"/>
                <w:szCs w:val="20"/>
                <w:color w:val="auto"/>
              </w:rPr>
            </w:pPr>
            <w:r>
              <w:rPr>
                <w:rFonts w:ascii="Times New Roman" w:cs="Times New Roman" w:eastAsia="Times New Roman" w:hAnsi="Times New Roman"/>
                <w:sz w:val="24"/>
                <w:szCs w:val="24"/>
                <w:color w:val="auto"/>
              </w:rPr>
              <w:t>_____________________________</w:t>
            </w: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40"/>
        </w:trPr>
        <w:tc>
          <w:tcPr>
            <w:tcW w:w="3820" w:type="dxa"/>
            <w:vAlign w:val="bottom"/>
            <w:vMerge w:val="continue"/>
          </w:tcPr>
          <w:p>
            <w:pPr>
              <w:spacing w:after="0"/>
              <w:rPr>
                <w:sz w:val="20"/>
                <w:szCs w:val="20"/>
                <w:color w:val="auto"/>
              </w:rPr>
            </w:pPr>
          </w:p>
        </w:tc>
        <w:tc>
          <w:tcPr>
            <w:tcW w:w="2720" w:type="dxa"/>
            <w:vAlign w:val="bottom"/>
          </w:tcPr>
          <w:p>
            <w:pPr>
              <w:spacing w:after="0"/>
              <w:rPr>
                <w:sz w:val="20"/>
                <w:szCs w:val="20"/>
                <w:color w:val="auto"/>
              </w:rPr>
            </w:pPr>
          </w:p>
        </w:tc>
        <w:tc>
          <w:tcPr>
            <w:tcW w:w="1680" w:type="dxa"/>
            <w:vAlign w:val="bottom"/>
          </w:tcPr>
          <w:p>
            <w:pPr>
              <w:spacing w:after="0"/>
              <w:rPr>
                <w:sz w:val="20"/>
                <w:szCs w:val="20"/>
                <w:color w:val="auto"/>
              </w:rPr>
            </w:pPr>
          </w:p>
        </w:tc>
        <w:tc>
          <w:tcPr>
            <w:tcW w:w="0" w:type="dxa"/>
            <w:vAlign w:val="bottom"/>
          </w:tcPr>
          <w:p>
            <w:pPr>
              <w:spacing w:after="0"/>
              <w:rPr>
                <w:sz w:val="1"/>
                <w:szCs w:val="1"/>
                <w:color w:val="auto"/>
              </w:rPr>
            </w:pPr>
          </w:p>
        </w:tc>
      </w:tr>
      <w:tr>
        <w:trPr>
          <w:trHeight w:val="312"/>
        </w:trPr>
        <w:tc>
          <w:tcPr>
            <w:tcW w:w="3820" w:type="dxa"/>
            <w:vAlign w:val="bottom"/>
          </w:tcPr>
          <w:p>
            <w:pPr>
              <w:jc w:val="center"/>
              <w:ind w:left="60"/>
              <w:spacing w:after="0"/>
              <w:rPr>
                <w:sz w:val="20"/>
                <w:szCs w:val="20"/>
                <w:color w:val="auto"/>
              </w:rPr>
            </w:pPr>
            <w:r>
              <w:rPr>
                <w:rFonts w:ascii="Times New Roman" w:cs="Times New Roman" w:eastAsia="Times New Roman" w:hAnsi="Times New Roman"/>
                <w:sz w:val="24"/>
                <w:szCs w:val="24"/>
                <w:color w:val="auto"/>
              </w:rPr>
              <w:t>(Vote Recorded By)</w:t>
            </w:r>
          </w:p>
        </w:tc>
        <w:tc>
          <w:tcPr>
            <w:tcW w:w="2720" w:type="dxa"/>
            <w:vAlign w:val="bottom"/>
          </w:tcPr>
          <w:p>
            <w:pPr>
              <w:spacing w:after="0"/>
              <w:rPr>
                <w:sz w:val="24"/>
                <w:szCs w:val="24"/>
                <w:color w:val="auto"/>
              </w:rPr>
            </w:pPr>
          </w:p>
        </w:tc>
        <w:tc>
          <w:tcPr>
            <w:tcW w:w="1680" w:type="dxa"/>
            <w:vAlign w:val="bottom"/>
          </w:tcPr>
          <w:p>
            <w:pPr>
              <w:spacing w:after="0"/>
              <w:rPr>
                <w:sz w:val="24"/>
                <w:szCs w:val="24"/>
                <w:color w:val="auto"/>
              </w:rPr>
            </w:pPr>
          </w:p>
        </w:tc>
        <w:tc>
          <w:tcPr>
            <w:tcW w:w="0" w:type="dxa"/>
            <w:vAlign w:val="bottom"/>
          </w:tcPr>
          <w:p>
            <w:pPr>
              <w:spacing w:after="0"/>
              <w:rPr>
                <w:sz w:val="1"/>
                <w:szCs w:val="1"/>
                <w:color w:val="auto"/>
              </w:rPr>
            </w:pPr>
          </w:p>
        </w:tc>
      </w:tr>
    </w:tbl>
    <w:p>
      <w:pPr>
        <w:spacing w:after="0" w:line="1" w:lineRule="exact"/>
        <w:rPr>
          <w:sz w:val="20"/>
          <w:szCs w:val="20"/>
          <w:color w:val="auto"/>
        </w:rPr>
      </w:pPr>
    </w:p>
    <w:sectPr>
      <w:pgSz w:w="12240" w:h="15840" w:orient="portrait"/>
      <w:cols w:equalWidth="0" w:num="1">
        <w:col w:w="10020"/>
      </w:cols>
      <w:pgMar w:left="1080" w:top="831" w:right="114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webSettings" Target="webSettings.xml"/><Relationship Id="rId12" Type="http://schemas.openxmlformats.org/officeDocument/2006/relationships/image" Target="media/image1.jpeg"/><Relationship Id="rId13" Type="http://schemas.openxmlformats.org/officeDocument/2006/relationships/image" Target="media/image2.png"/><Relationship Id="rId14" Type="http://schemas.openxmlformats.org/officeDocument/2006/relationships/hyperlink" Target="https://carsoncity.granicus.com/services/legistar/download/pdf/4203109/FY26_Vehicle_Fuel_Accounts_Increase.xlsx.pdf" TargetMode="External"/></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2026-06-25T19:55:52Z</dcterms:created>
  <dcterms:modified xsi:type="dcterms:W3CDTF">2026-06-25T19:55:52Z</dcterms:modified>
</cp:coreProperties>
</file>